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CC3A84" w14:textId="77777777" w:rsidR="00D87660" w:rsidRDefault="00D87660">
      <w:pPr>
        <w:pStyle w:val="Body"/>
        <w:spacing w:line="276" w:lineRule="auto"/>
        <w:jc w:val="center"/>
        <w:rPr>
          <w:rFonts w:ascii="Century Gothic" w:eastAsia="Century Gothic" w:hAnsi="Century Gothic" w:cs="Century Gothic"/>
          <w:b/>
          <w:bCs/>
          <w:spacing w:val="160"/>
          <w:sz w:val="72"/>
          <w:szCs w:val="72"/>
          <w:lang w:val="en-US"/>
        </w:rPr>
      </w:pPr>
    </w:p>
    <w:p w14:paraId="14EDBFB5" w14:textId="77777777" w:rsidR="00D87660" w:rsidRDefault="00D87660">
      <w:pPr>
        <w:pStyle w:val="Body"/>
        <w:spacing w:line="276" w:lineRule="auto"/>
        <w:jc w:val="center"/>
        <w:rPr>
          <w:rFonts w:ascii="Century Gothic" w:eastAsia="Century Gothic" w:hAnsi="Century Gothic" w:cs="Century Gothic"/>
          <w:b/>
          <w:bCs/>
          <w:spacing w:val="160"/>
          <w:sz w:val="72"/>
          <w:szCs w:val="72"/>
          <w:lang w:val="en-US"/>
        </w:rPr>
      </w:pPr>
    </w:p>
    <w:p w14:paraId="7FE05000" w14:textId="77777777" w:rsidR="00D87660" w:rsidRDefault="00773BF8">
      <w:pPr>
        <w:pStyle w:val="Body"/>
        <w:spacing w:line="276" w:lineRule="auto"/>
        <w:jc w:val="center"/>
        <w:rPr>
          <w:rFonts w:ascii="Century Gothic" w:eastAsia="Century Gothic" w:hAnsi="Century Gothic" w:cs="Century Gothic"/>
          <w:b/>
          <w:bCs/>
          <w:spacing w:val="160"/>
          <w:sz w:val="96"/>
          <w:szCs w:val="96"/>
          <w14:shadow w14:blurRad="50800" w14:dist="38100" w14:dir="2700000" w14:sx="100000" w14:sy="100000" w14:kx="0" w14:ky="0" w14:algn="tl">
            <w14:srgbClr w14:val="000000">
              <w14:alpha w14:val="60000"/>
            </w14:srgbClr>
          </w14:shadow>
        </w:rPr>
      </w:pPr>
      <w:r>
        <w:rPr>
          <w:rFonts w:ascii="Century Gothic" w:hAnsi="Century Gothic"/>
          <w:b/>
          <w:bCs/>
          <w:spacing w:val="160"/>
          <w:sz w:val="96"/>
          <w:szCs w:val="96"/>
          <w:lang w:val="en-US"/>
          <w14:shadow w14:blurRad="50800" w14:dist="38100" w14:dir="2700000" w14:sx="100000" w14:sy="100000" w14:kx="0" w14:ky="0" w14:algn="tl">
            <w14:srgbClr w14:val="000000">
              <w14:alpha w14:val="60000"/>
            </w14:srgbClr>
          </w14:shadow>
        </w:rPr>
        <w:t>E–WEDNESDAY</w:t>
      </w:r>
    </w:p>
    <w:p w14:paraId="5B6A1A9E" w14:textId="77777777" w:rsidR="00D87660" w:rsidRDefault="00D87660">
      <w:pPr>
        <w:pStyle w:val="Body"/>
        <w:spacing w:line="276" w:lineRule="auto"/>
        <w:jc w:val="center"/>
        <w:rPr>
          <w:rFonts w:ascii="Century Gothic" w:eastAsia="Century Gothic" w:hAnsi="Century Gothic" w:cs="Century Gothic"/>
          <w:spacing w:val="160"/>
          <w:sz w:val="48"/>
          <w:szCs w:val="48"/>
          <w:lang w:val="en-US"/>
          <w14:shadow w14:blurRad="50800" w14:dist="38100" w14:dir="2700000" w14:sx="100000" w14:sy="100000" w14:kx="0" w14:ky="0" w14:algn="tl">
            <w14:srgbClr w14:val="000000">
              <w14:alpha w14:val="60000"/>
            </w14:srgbClr>
          </w14:shadow>
        </w:rPr>
      </w:pPr>
    </w:p>
    <w:p w14:paraId="108BFABD" w14:textId="6BC541D0" w:rsidR="00D87660" w:rsidRDefault="00773BF8">
      <w:pPr>
        <w:pStyle w:val="Body"/>
        <w:spacing w:line="276" w:lineRule="auto"/>
        <w:jc w:val="center"/>
        <w:rPr>
          <w:rFonts w:ascii="Century Gothic" w:eastAsia="Century Gothic" w:hAnsi="Century Gothic" w:cs="Century Gothic"/>
          <w:spacing w:val="160"/>
          <w:sz w:val="48"/>
          <w:szCs w:val="48"/>
          <w14:shadow w14:blurRad="50800" w14:dist="38100" w14:dir="2700000" w14:sx="100000" w14:sy="100000" w14:kx="0" w14:ky="0" w14:algn="tl">
            <w14:srgbClr w14:val="000000">
              <w14:alpha w14:val="60000"/>
            </w14:srgbClr>
          </w14:shadow>
        </w:rPr>
      </w:pPr>
      <w:r>
        <w:rPr>
          <w:rFonts w:ascii="Century Gothic" w:hAnsi="Century Gothic"/>
          <w:spacing w:val="160"/>
          <w:sz w:val="48"/>
          <w:szCs w:val="48"/>
          <w:lang w:val="en-US"/>
          <w14:shadow w14:blurRad="50800" w14:dist="38100" w14:dir="2700000" w14:sx="100000" w14:sy="100000" w14:kx="0" w14:ky="0" w14:algn="tl">
            <w14:srgbClr w14:val="000000">
              <w14:alpha w14:val="60000"/>
            </w14:srgbClr>
          </w14:shadow>
        </w:rPr>
        <w:t xml:space="preserve">January </w:t>
      </w:r>
      <w:r w:rsidR="00361396">
        <w:rPr>
          <w:rFonts w:ascii="Century Gothic" w:hAnsi="Century Gothic"/>
          <w:spacing w:val="160"/>
          <w:sz w:val="48"/>
          <w:szCs w:val="48"/>
          <w:lang w:val="en-US"/>
          <w14:shadow w14:blurRad="50800" w14:dist="38100" w14:dir="2700000" w14:sx="100000" w14:sy="100000" w14:kx="0" w14:ky="0" w14:algn="tl">
            <w14:srgbClr w14:val="000000">
              <w14:alpha w14:val="60000"/>
            </w14:srgbClr>
          </w14:shadow>
        </w:rPr>
        <w:t>14</w:t>
      </w:r>
      <w:r>
        <w:rPr>
          <w:rFonts w:ascii="Century Gothic" w:hAnsi="Century Gothic"/>
          <w:spacing w:val="160"/>
          <w:sz w:val="48"/>
          <w:szCs w:val="48"/>
          <w:lang w:val="en-US"/>
          <w14:shadow w14:blurRad="50800" w14:dist="38100" w14:dir="2700000" w14:sx="100000" w14:sy="100000" w14:kx="0" w14:ky="0" w14:algn="tl">
            <w14:srgbClr w14:val="000000">
              <w14:alpha w14:val="60000"/>
            </w14:srgbClr>
          </w14:shadow>
        </w:rPr>
        <w:t>, 202</w:t>
      </w:r>
      <w:r w:rsidR="00361396">
        <w:rPr>
          <w:rFonts w:ascii="Century Gothic" w:hAnsi="Century Gothic"/>
          <w:spacing w:val="160"/>
          <w:sz w:val="48"/>
          <w:szCs w:val="48"/>
          <w:lang w:val="en-US"/>
          <w14:shadow w14:blurRad="50800" w14:dist="38100" w14:dir="2700000" w14:sx="100000" w14:sy="100000" w14:kx="0" w14:ky="0" w14:algn="tl">
            <w14:srgbClr w14:val="000000">
              <w14:alpha w14:val="60000"/>
            </w14:srgbClr>
          </w14:shadow>
        </w:rPr>
        <w:t>6</w:t>
      </w:r>
    </w:p>
    <w:p w14:paraId="651EE83E" w14:textId="77777777" w:rsidR="00D87660" w:rsidRDefault="00773BF8">
      <w:pPr>
        <w:pStyle w:val="Body"/>
        <w:spacing w:line="276" w:lineRule="auto"/>
        <w:jc w:val="center"/>
        <w:rPr>
          <w:rFonts w:ascii="Century Gothic" w:eastAsia="Century Gothic" w:hAnsi="Century Gothic" w:cs="Century Gothic"/>
          <w:b/>
          <w:bCs/>
          <w:spacing w:val="160"/>
          <w:sz w:val="28"/>
          <w:szCs w:val="28"/>
          <w:lang w:val="en-US"/>
        </w:rPr>
      </w:pPr>
      <w:r>
        <w:rPr>
          <w:rFonts w:ascii="Century Gothic" w:eastAsia="Century Gothic" w:hAnsi="Century Gothic" w:cs="Century Gothic"/>
          <w:b/>
          <w:bCs/>
          <w:noProof/>
          <w:spacing w:val="160"/>
          <w:sz w:val="48"/>
          <w:szCs w:val="48"/>
          <w:lang w:val="en-US"/>
          <w14:shadow w14:blurRad="50800" w14:dist="38100" w14:dir="2700000" w14:sx="100000" w14:sy="100000" w14:kx="0" w14:ky="0" w14:algn="tl">
            <w14:srgbClr w14:val="000000">
              <w14:alpha w14:val="60000"/>
            </w14:srgbClr>
          </w14:shadow>
        </w:rPr>
        <mc:AlternateContent>
          <mc:Choice Requires="wps">
            <w:drawing>
              <wp:anchor distT="57150" distB="57150" distL="57150" distR="57150" simplePos="0" relativeHeight="251659264" behindDoc="0" locked="0" layoutInCell="1" allowOverlap="1" wp14:anchorId="36164657" wp14:editId="05FB0986">
                <wp:simplePos x="0" y="0"/>
                <wp:positionH relativeFrom="margin">
                  <wp:posOffset>565149</wp:posOffset>
                </wp:positionH>
                <wp:positionV relativeFrom="line">
                  <wp:posOffset>248920</wp:posOffset>
                </wp:positionV>
                <wp:extent cx="730250" cy="742950"/>
                <wp:effectExtent l="0" t="0" r="0" b="0"/>
                <wp:wrapNone/>
                <wp:docPr id="1073741828" name="officeArt object" descr="“"/>
                <wp:cNvGraphicFramePr/>
                <a:graphic xmlns:a="http://schemas.openxmlformats.org/drawingml/2006/main">
                  <a:graphicData uri="http://schemas.microsoft.com/office/word/2010/wordprocessingShape">
                    <wps:wsp>
                      <wps:cNvSpPr txBox="1"/>
                      <wps:spPr>
                        <a:xfrm rot="10800000">
                          <a:off x="0" y="0"/>
                          <a:ext cx="730250" cy="742950"/>
                        </a:xfrm>
                        <a:prstGeom prst="rect">
                          <a:avLst/>
                        </a:prstGeom>
                        <a:noFill/>
                        <a:ln w="12700" cap="flat">
                          <a:noFill/>
                          <a:miter lim="400000"/>
                        </a:ln>
                        <a:effectLst/>
                      </wps:spPr>
                      <wps:txbx>
                        <w:txbxContent>
                          <w:p w14:paraId="056F4999" w14:textId="26B6709D" w:rsidR="00D87660" w:rsidRDefault="00153C2D">
                            <w:pPr>
                              <w:pStyle w:val="Body"/>
                            </w:pPr>
                            <w:r w:rsidRPr="00153C2D">
                              <w:rPr>
                                <w:color w:val="BFBFBF"/>
                                <w:sz w:val="160"/>
                                <w:szCs w:val="160"/>
                                <w:u w:color="BFBFBF"/>
                                <w:lang w:val="ar-SA"/>
                              </w:rPr>
                              <w:t>”</w:t>
                            </w:r>
                            <w:r w:rsidRPr="00153C2D">
                              <w:rPr>
                                <w:color w:val="BFBFBF"/>
                                <w:sz w:val="160"/>
                                <w:szCs w:val="160"/>
                                <w:u w:color="BFBFBF"/>
                                <w:rtl/>
                                <w:lang w:val="ar-SA"/>
                              </w:rPr>
                              <w:t xml:space="preserve"> </w:t>
                            </w:r>
                            <w:r>
                              <w:rPr>
                                <w:color w:val="BFBFBF"/>
                                <w:sz w:val="160"/>
                                <w:szCs w:val="160"/>
                                <w:u w:color="BFBFBF"/>
                                <w:rtl/>
                                <w:lang w:val="ar-SA"/>
                              </w:rPr>
                              <w:t>“</w:t>
                            </w:r>
                          </w:p>
                        </w:txbxContent>
                      </wps:txbx>
                      <wps:bodyPr wrap="square" lIns="45719" tIns="45719" rIns="45719" bIns="45719" numCol="1" anchor="t">
                        <a:noAutofit/>
                      </wps:bodyPr>
                    </wps:wsp>
                  </a:graphicData>
                </a:graphic>
                <wp14:sizeRelH relativeFrom="margin">
                  <wp14:pctWidth>0</wp14:pctWidth>
                </wp14:sizeRelH>
              </wp:anchor>
            </w:drawing>
          </mc:Choice>
          <mc:Fallback>
            <w:pict>
              <v:shapetype w14:anchorId="36164657" id="_x0000_t202" coordsize="21600,21600" o:spt="202" path="m,l,21600r21600,l21600,xe">
                <v:stroke joinstyle="miter"/>
                <v:path gradientshapeok="t" o:connecttype="rect"/>
              </v:shapetype>
              <v:shape id="officeArt object" o:spid="_x0000_s1026" type="#_x0000_t202" alt="“" style="position:absolute;left:0;text-align:left;margin-left:44.5pt;margin-top:19.6pt;width:57.5pt;height:58.5pt;rotation:180;z-index:251659264;visibility:visible;mso-wrap-style:square;mso-width-percent:0;mso-wrap-distance-left:4.5pt;mso-wrap-distance-top:4.5pt;mso-wrap-distance-right:4.5pt;mso-wrap-distance-bottom:4.5pt;mso-position-horizontal:absolute;mso-position-horizontal-relative:margin;mso-position-vertical:absolute;mso-position-vertical-relative:line;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" filled="f" stroked="f" strokeweight="1pt">
                <v:stroke miterlimit="4"/>
                <v:textbox inset="1.27mm,1.27mm,1.27mm,1.27mm">
                  <w:txbxContent>
                    <w:p w14:paraId="056F4999" w14:textId="26B6709D" w:rsidR="00D87660" w:rsidRDefault="00153C2D">
                      <w:pPr>
                        <w:pStyle w:val="Body"/>
                      </w:pPr>
                      <w:r w:rsidRPr="00153C2D">
                        <w:rPr>
                          <w:color w:val="BFBFBF"/>
                          <w:sz w:val="160"/>
                          <w:szCs w:val="160"/>
                          <w:u w:color="BFBFBF"/>
                          <w:lang w:val="ar-SA"/>
                        </w:rPr>
                        <w:t>”</w:t>
                      </w:r>
                      <w:r w:rsidRPr="00153C2D">
                        <w:rPr>
                          <w:color w:val="BFBFBF"/>
                          <w:sz w:val="160"/>
                          <w:szCs w:val="160"/>
                          <w:u w:color="BFBFBF"/>
                          <w:rtl/>
                          <w:lang w:val="ar-SA"/>
                        </w:rPr>
                        <w:t xml:space="preserve"> </w:t>
                      </w:r>
                      <w:r>
                        <w:rPr>
                          <w:color w:val="BFBFBF"/>
                          <w:sz w:val="160"/>
                          <w:szCs w:val="160"/>
                          <w:u w:color="BFBFBF"/>
                          <w:rtl/>
                          <w:lang w:val="ar-SA"/>
                        </w:rPr>
                        <w:t>“</w:t>
                      </w:r>
                    </w:p>
                  </w:txbxContent>
                </v:textbox>
                <w10:wrap anchorx="margin" anchory="line"/>
              </v:shape>
            </w:pict>
          </mc:Fallback>
        </mc:AlternateContent>
      </w:r>
    </w:p>
    <w:p w14:paraId="6DC08C94" w14:textId="56DEFDFF" w:rsidR="00D87660" w:rsidRDefault="00D87660">
      <w:pPr>
        <w:pStyle w:val="Body"/>
        <w:spacing w:line="276" w:lineRule="auto"/>
        <w:jc w:val="center"/>
        <w:rPr>
          <w:rFonts w:ascii="Century Gothic" w:eastAsia="Century Gothic" w:hAnsi="Century Gothic" w:cs="Century Gothic"/>
          <w:b/>
          <w:bCs/>
          <w:spacing w:val="160"/>
          <w:sz w:val="28"/>
          <w:szCs w:val="28"/>
          <w:lang w:val="en-US"/>
        </w:rPr>
      </w:pPr>
    </w:p>
    <w:p w14:paraId="5F2C5DF5" w14:textId="43C2F5CE" w:rsidR="00086E8F" w:rsidRDefault="004F12AC">
      <w:pPr>
        <w:pStyle w:val="Body"/>
        <w:spacing w:line="276" w:lineRule="auto"/>
        <w:jc w:val="center"/>
        <w:rPr>
          <w:rFonts w:ascii="Century Gothic" w:hAnsi="Century Gothic"/>
          <w:b/>
          <w:bCs/>
          <w:color w:val="808080"/>
          <w:sz w:val="32"/>
          <w:szCs w:val="32"/>
          <w:u w:color="808080"/>
          <w:lang w:val="en-US"/>
        </w:rPr>
      </w:pPr>
      <w:r>
        <w:rPr>
          <w:rFonts w:ascii="Century Gothic" w:eastAsia="Century Gothic" w:hAnsi="Century Gothic" w:cs="Century Gothic"/>
          <w:b/>
          <w:bCs/>
          <w:noProof/>
          <w:spacing w:val="160"/>
          <w:sz w:val="28"/>
          <w:szCs w:val="28"/>
          <w:lang w:val="en-US"/>
        </w:rPr>
        <mc:AlternateContent>
          <mc:Choice Requires="wps">
            <w:drawing>
              <wp:anchor distT="0" distB="0" distL="0" distR="0" simplePos="0" relativeHeight="251660288" behindDoc="0" locked="0" layoutInCell="1" allowOverlap="1" wp14:anchorId="6EC12FD1" wp14:editId="110AB15A">
                <wp:simplePos x="0" y="0"/>
                <wp:positionH relativeFrom="margin">
                  <wp:posOffset>5664200</wp:posOffset>
                </wp:positionH>
                <wp:positionV relativeFrom="paragraph">
                  <wp:posOffset>8255</wp:posOffset>
                </wp:positionV>
                <wp:extent cx="622300" cy="819150"/>
                <wp:effectExtent l="0" t="0" r="0" b="0"/>
                <wp:wrapNone/>
                <wp:docPr id="1073741829" name="officeArt object" descr="”"/>
                <wp:cNvGraphicFramePr/>
                <a:graphic xmlns:a="http://schemas.openxmlformats.org/drawingml/2006/main">
                  <a:graphicData uri="http://schemas.microsoft.com/office/word/2010/wordprocessingShape">
                    <wps:wsp>
                      <wps:cNvSpPr txBox="1"/>
                      <wps:spPr>
                        <a:xfrm>
                          <a:off x="0" y="0"/>
                          <a:ext cx="622300" cy="819150"/>
                        </a:xfrm>
                        <a:prstGeom prst="rect">
                          <a:avLst/>
                        </a:prstGeom>
                        <a:noFill/>
                        <a:ln w="12700" cap="flat">
                          <a:noFill/>
                          <a:miter lim="400000"/>
                        </a:ln>
                        <a:effectLst/>
                      </wps:spPr>
                      <wps:txbx>
                        <w:txbxContent>
                          <w:p w14:paraId="22857DA5" w14:textId="77777777" w:rsidR="00D87660" w:rsidRDefault="00773BF8">
                            <w:pPr>
                              <w:pStyle w:val="Body"/>
                            </w:pPr>
                            <w:bookmarkStart w:id="0" w:name="_Hlk154755251"/>
                            <w:bookmarkStart w:id="1" w:name="_Hlk154755252"/>
                            <w:bookmarkStart w:id="2" w:name="_Hlk154755300"/>
                            <w:bookmarkStart w:id="3" w:name="_Hlk154755301"/>
                            <w:bookmarkStart w:id="4" w:name="_Hlk154755302"/>
                            <w:bookmarkStart w:id="5" w:name="_Hlk154755303"/>
                            <w:bookmarkStart w:id="6" w:name="_Hlk154755321"/>
                            <w:bookmarkStart w:id="7" w:name="_Hlk154755322"/>
                            <w:bookmarkStart w:id="8" w:name="_Hlk154755323"/>
                            <w:bookmarkStart w:id="9" w:name="_Hlk154755324"/>
                            <w:r>
                              <w:rPr>
                                <w:color w:val="BFBFBF"/>
                                <w:sz w:val="160"/>
                                <w:szCs w:val="160"/>
                                <w:u w:color="BFBFBF"/>
                              </w:rPr>
                              <w:t>”</w:t>
                            </w:r>
                            <w:bookmarkEnd w:id="0"/>
                            <w:bookmarkEnd w:id="1"/>
                            <w:bookmarkEnd w:id="2"/>
                            <w:bookmarkEnd w:id="3"/>
                            <w:bookmarkEnd w:id="4"/>
                            <w:bookmarkEnd w:id="5"/>
                            <w:bookmarkEnd w:id="6"/>
                            <w:bookmarkEnd w:id="7"/>
                            <w:bookmarkEnd w:id="8"/>
                            <w:bookmarkEnd w:id="9"/>
                          </w:p>
                        </w:txbxContent>
                      </wps:txbx>
                      <wps:bodyPr wrap="square" lIns="45719" tIns="45719" rIns="45719" bIns="45719" numCol="1" anchor="t">
                        <a:noAutofit/>
                      </wps:bodyPr>
                    </wps:wsp>
                  </a:graphicData>
                </a:graphic>
                <wp14:sizeRelH relativeFrom="margin">
                  <wp14:pctWidth>0</wp14:pctWidth>
                </wp14:sizeRelH>
                <wp14:sizeRelV relativeFrom="margin">
                  <wp14:pctHeight>0</wp14:pctHeight>
                </wp14:sizeRelV>
              </wp:anchor>
            </w:drawing>
          </mc:Choice>
          <mc:Fallback>
            <w:pict>
              <v:shape w14:anchorId="6EC12FD1" id="_x0000_s1027" type="#_x0000_t202" alt="”" style="position:absolute;left:0;text-align:left;margin-left:446pt;margin-top:.65pt;width:49pt;height:64.5pt;z-index:251660288;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" filled="f" stroked="f" strokeweight="1pt">
                <v:stroke miterlimit="4"/>
                <v:textbox inset="1.27mm,1.27mm,1.27mm,1.27mm">
                  <w:txbxContent>
                    <w:p w14:paraId="22857DA5" w14:textId="77777777" w:rsidR="00D87660" w:rsidRDefault="00773BF8">
                      <w:pPr>
                        <w:pStyle w:val="Body"/>
                      </w:pPr>
                      <w:bookmarkStart w:id="10" w:name="_Hlk154755251"/>
                      <w:bookmarkStart w:id="11" w:name="_Hlk154755252"/>
                      <w:bookmarkStart w:id="12" w:name="_Hlk154755300"/>
                      <w:bookmarkStart w:id="13" w:name="_Hlk154755301"/>
                      <w:bookmarkStart w:id="14" w:name="_Hlk154755302"/>
                      <w:bookmarkStart w:id="15" w:name="_Hlk154755303"/>
                      <w:bookmarkStart w:id="16" w:name="_Hlk154755321"/>
                      <w:bookmarkStart w:id="17" w:name="_Hlk154755322"/>
                      <w:bookmarkStart w:id="18" w:name="_Hlk154755323"/>
                      <w:bookmarkStart w:id="19" w:name="_Hlk154755324"/>
                      <w:r>
                        <w:rPr>
                          <w:color w:val="BFBFBF"/>
                          <w:sz w:val="160"/>
                          <w:szCs w:val="160"/>
                          <w:u w:color="BFBFBF"/>
                        </w:rPr>
                        <w:t>”</w:t>
                      </w:r>
                      <w:bookmarkEnd w:id="10"/>
                      <w:bookmarkEnd w:id="11"/>
                      <w:bookmarkEnd w:id="12"/>
                      <w:bookmarkEnd w:id="13"/>
                      <w:bookmarkEnd w:id="14"/>
                      <w:bookmarkEnd w:id="15"/>
                      <w:bookmarkEnd w:id="16"/>
                      <w:bookmarkEnd w:id="17"/>
                      <w:bookmarkEnd w:id="18"/>
                      <w:bookmarkEnd w:id="19"/>
                    </w:p>
                  </w:txbxContent>
                </v:textbox>
                <w10:wrap anchorx="margin"/>
              </v:shape>
            </w:pict>
          </mc:Fallback>
        </mc:AlternateContent>
      </w:r>
      <w:r>
        <w:rPr>
          <w:rFonts w:ascii="Century Gothic" w:hAnsi="Century Gothic"/>
          <w:b/>
          <w:bCs/>
          <w:color w:val="808080"/>
          <w:sz w:val="32"/>
          <w:szCs w:val="32"/>
          <w:u w:color="808080"/>
          <w:lang w:val="en-US"/>
        </w:rPr>
        <w:t>Happy New Year!!</w:t>
      </w:r>
    </w:p>
    <w:p w14:paraId="47539C12" w14:textId="0D28C430" w:rsidR="00086E8F" w:rsidRDefault="004F12AC">
      <w:pPr>
        <w:pStyle w:val="Body"/>
        <w:spacing w:line="276" w:lineRule="auto"/>
        <w:jc w:val="center"/>
        <w:rPr>
          <w:rFonts w:ascii="Century Gothic" w:hAnsi="Century Gothic"/>
          <w:b/>
          <w:bCs/>
          <w:color w:val="808080"/>
          <w:sz w:val="32"/>
          <w:szCs w:val="32"/>
          <w:u w:color="808080"/>
          <w:lang w:val="en-US"/>
        </w:rPr>
      </w:pPr>
      <w:r>
        <w:rPr>
          <w:rFonts w:ascii="Century Gothic" w:hAnsi="Century Gothic"/>
          <w:b/>
          <w:bCs/>
          <w:color w:val="808080"/>
          <w:sz w:val="32"/>
          <w:szCs w:val="32"/>
          <w:u w:color="808080"/>
          <w:lang w:val="en-US"/>
        </w:rPr>
        <w:t>May this financial year bring lots of wealth</w:t>
      </w:r>
      <w:r w:rsidR="00086E8F" w:rsidRPr="00086E8F">
        <w:rPr>
          <w:rFonts w:ascii="Century Gothic" w:hAnsi="Century Gothic"/>
          <w:b/>
          <w:bCs/>
          <w:color w:val="808080"/>
          <w:sz w:val="32"/>
          <w:szCs w:val="32"/>
          <w:u w:color="808080"/>
          <w:lang w:val="en-US"/>
        </w:rPr>
        <w:t>.</w:t>
      </w:r>
    </w:p>
    <w:p w14:paraId="3A4FF271" w14:textId="441D7052" w:rsidR="00D87660" w:rsidRPr="00875DCC" w:rsidRDefault="00D87660" w:rsidP="00875DCC">
      <w:pPr>
        <w:pStyle w:val="Body"/>
        <w:spacing w:line="276" w:lineRule="auto"/>
        <w:jc w:val="center"/>
        <w:rPr>
          <w:rFonts w:ascii="Century Gothic" w:eastAsia="Century Gothic" w:hAnsi="Century Gothic" w:cs="Century Gothic"/>
          <w:b/>
          <w:bCs/>
          <w:color w:val="808080"/>
          <w:sz w:val="32"/>
          <w:szCs w:val="32"/>
          <w:u w:color="808080"/>
          <w:lang w:val="en-US"/>
        </w:rPr>
      </w:pPr>
    </w:p>
    <w:p w14:paraId="3D61C387" w14:textId="01017BF6" w:rsidR="00D87660" w:rsidRDefault="004F12AC" w:rsidP="00086E8F">
      <w:pPr>
        <w:pStyle w:val="Body"/>
        <w:spacing w:line="276" w:lineRule="auto"/>
        <w:jc w:val="center"/>
      </w:pPr>
      <w:r>
        <w:rPr>
          <w:rFonts w:ascii="Century Gothic" w:hAnsi="Century Gothic"/>
          <w:i/>
          <w:iCs/>
          <w:color w:val="808080"/>
          <w:spacing w:val="80"/>
          <w:sz w:val="22"/>
          <w:szCs w:val="22"/>
          <w:u w:color="808080"/>
          <w:lang w:val="en-US"/>
        </w:rPr>
        <w:t xml:space="preserve">unknown </w:t>
      </w:r>
      <w:r w:rsidR="00086E8F">
        <w:rPr>
          <w:rFonts w:ascii="Century Gothic" w:hAnsi="Century Gothic"/>
          <w:i/>
          <w:iCs/>
          <w:color w:val="808080"/>
          <w:spacing w:val="80"/>
          <w:sz w:val="22"/>
          <w:szCs w:val="22"/>
          <w:u w:color="808080"/>
          <w:lang w:val="en-US"/>
        </w:rPr>
        <w:t>- “</w:t>
      </w:r>
      <w:r>
        <w:rPr>
          <w:rFonts w:ascii="Century Gothic" w:hAnsi="Century Gothic"/>
          <w:i/>
          <w:iCs/>
          <w:color w:val="808080"/>
          <w:spacing w:val="80"/>
          <w:sz w:val="22"/>
          <w:szCs w:val="22"/>
          <w:u w:color="808080"/>
          <w:lang w:val="en-US"/>
        </w:rPr>
        <w:t>yourquote.in</w:t>
      </w:r>
      <w:r w:rsidR="00086E8F">
        <w:rPr>
          <w:rFonts w:ascii="Century Gothic" w:hAnsi="Century Gothic"/>
          <w:i/>
          <w:iCs/>
          <w:color w:val="808080"/>
          <w:spacing w:val="80"/>
          <w:sz w:val="22"/>
          <w:szCs w:val="22"/>
          <w:u w:color="808080"/>
          <w:lang w:val="en-US"/>
        </w:rPr>
        <w:t>”</w:t>
      </w:r>
      <w:r w:rsidR="00086E8F">
        <w:rPr>
          <w:rFonts w:ascii="Arial Unicode MS" w:hAnsi="Arial Unicode MS"/>
          <w:lang w:val="en-US"/>
        </w:rPr>
        <w:br w:type="page"/>
      </w:r>
    </w:p>
    <w:p w14:paraId="6A96D95F" w14:textId="77777777" w:rsidR="00D87660" w:rsidRDefault="00773BF8">
      <w:pPr>
        <w:pStyle w:val="Body"/>
        <w:spacing w:line="276" w:lineRule="auto"/>
        <w:rPr>
          <w:rFonts w:ascii="Century Gothic" w:eastAsia="Century Gothic" w:hAnsi="Century Gothic" w:cs="Century Gothic"/>
          <w:b/>
          <w:bCs/>
          <w:color w:val="808080"/>
          <w:spacing w:val="80"/>
          <w:sz w:val="22"/>
          <w:szCs w:val="22"/>
          <w:u w:color="808080"/>
        </w:rPr>
      </w:pPr>
      <w:r>
        <w:rPr>
          <w:rFonts w:ascii="Century Gothic" w:hAnsi="Century Gothic"/>
          <w:b/>
          <w:bCs/>
          <w:color w:val="808080"/>
          <w:spacing w:val="80"/>
          <w:sz w:val="48"/>
          <w:szCs w:val="48"/>
          <w:u w:color="808080"/>
          <w:lang w:val="en-US"/>
        </w:rPr>
        <w:lastRenderedPageBreak/>
        <w:t>Money</w:t>
      </w:r>
    </w:p>
    <w:p w14:paraId="381E0EB8" w14:textId="77777777" w:rsidR="00D87660" w:rsidRDefault="00773BF8">
      <w:pPr>
        <w:pStyle w:val="Body"/>
        <w:spacing w:line="276" w:lineRule="auto"/>
        <w:rPr>
          <w:rFonts w:ascii="Century Gothic" w:eastAsia="Century Gothic" w:hAnsi="Century Gothic" w:cs="Century Gothic"/>
          <w:color w:val="808080"/>
          <w:sz w:val="28"/>
          <w:szCs w:val="28"/>
          <w:u w:color="808080"/>
          <w:lang w:val="en-US"/>
        </w:rPr>
      </w:pPr>
      <w:r>
        <w:rPr>
          <w:rFonts w:ascii="Century Gothic" w:eastAsia="Century Gothic" w:hAnsi="Century Gothic" w:cs="Century Gothic"/>
          <w:noProof/>
          <w:color w:val="808080"/>
          <w:sz w:val="22"/>
          <w:szCs w:val="22"/>
          <w:u w:color="808080"/>
        </w:rPr>
        <w:drawing>
          <wp:inline distT="0" distB="0" distL="0" distR="0" wp14:anchorId="318539AB" wp14:editId="5F022DAF">
            <wp:extent cx="6794500" cy="65406"/>
            <wp:effectExtent l="0" t="0" r="0" b="0"/>
            <wp:docPr id="1073741830" name="officeArt object" descr="image1.png"/>
            <wp:cNvGraphicFramePr/>
            <a:graphic xmlns:a="http://schemas.openxmlformats.org/drawingml/2006/main">
              <a:graphicData uri="http://schemas.openxmlformats.org/drawingml/2006/picture">
                <pic:pic xmlns:pic="http://schemas.openxmlformats.org/drawingml/2006/picture">
                  <pic:nvPicPr>
                    <pic:cNvPr id="1073741830" name="image1.png" descr="image1.png"/>
                    <pic:cNvPicPr>
                      <a:picLocks noChangeAspect="1"/>
                    </pic:cNvPicPr>
                  </pic:nvPicPr>
                  <pic:blipFill>
                    <a:blip r:embed="rId8"/>
                    <a:stretch>
                      <a:fillRect/>
                    </a:stretch>
                  </pic:blipFill>
                  <pic:spPr>
                    <a:xfrm>
                      <a:off x="0" y="0"/>
                      <a:ext cx="6794500" cy="65406"/>
                    </a:xfrm>
                    <a:prstGeom prst="rect">
                      <a:avLst/>
                    </a:prstGeom>
                    <a:ln w="12700" cap="flat">
                      <a:noFill/>
                      <a:miter lim="400000"/>
                    </a:ln>
                    <a:effectLst/>
                  </pic:spPr>
                </pic:pic>
              </a:graphicData>
            </a:graphic>
          </wp:inline>
        </w:drawing>
      </w:r>
    </w:p>
    <w:p w14:paraId="74277053" w14:textId="46DDA925" w:rsidR="00D87660" w:rsidRPr="00BC0545" w:rsidRDefault="00773BF8">
      <w:pPr>
        <w:pStyle w:val="Body"/>
        <w:spacing w:line="276" w:lineRule="auto"/>
        <w:rPr>
          <w:rFonts w:ascii="Century Gothic" w:eastAsia="Century Gothic" w:hAnsi="Century Gothic" w:cs="Century Gothic"/>
          <w:i/>
          <w:iCs/>
          <w:color w:val="808080"/>
          <w:spacing w:val="80"/>
          <w:sz w:val="22"/>
          <w:szCs w:val="22"/>
          <w:u w:color="808080"/>
          <w:lang w:val="en-US"/>
        </w:rPr>
      </w:pPr>
      <w:r>
        <w:rPr>
          <w:rFonts w:ascii="Century Gothic" w:hAnsi="Century Gothic"/>
          <w:color w:val="808080"/>
          <w:sz w:val="28"/>
          <w:szCs w:val="28"/>
          <w:u w:color="808080"/>
          <w:lang w:val="en-US"/>
        </w:rPr>
        <w:t>“</w:t>
      </w:r>
      <w:r w:rsidR="004F12AC">
        <w:rPr>
          <w:rFonts w:ascii="Century Gothic" w:hAnsi="Century Gothic"/>
          <w:color w:val="808080"/>
          <w:sz w:val="28"/>
          <w:szCs w:val="28"/>
          <w:u w:color="808080"/>
          <w:lang w:val="en-US"/>
        </w:rPr>
        <w:t>No one’s ever achieved financial fitness with a January resolution that’s abandoned by February</w:t>
      </w:r>
      <w:r w:rsidR="00086E8F" w:rsidRPr="00086E8F">
        <w:rPr>
          <w:rFonts w:ascii="Century Gothic" w:hAnsi="Century Gothic"/>
          <w:color w:val="808080"/>
          <w:sz w:val="28"/>
          <w:szCs w:val="28"/>
          <w:u w:color="808080"/>
          <w:lang w:val="en-US"/>
        </w:rPr>
        <w:t>!</w:t>
      </w:r>
      <w:r w:rsidR="0061228C">
        <w:rPr>
          <w:rFonts w:ascii="Century Gothic" w:hAnsi="Century Gothic"/>
          <w:color w:val="808080"/>
          <w:sz w:val="28"/>
          <w:szCs w:val="28"/>
          <w:u w:color="808080"/>
          <w:lang w:val="en-US"/>
        </w:rPr>
        <w:t>”</w:t>
      </w:r>
      <w:r w:rsidR="00772E92">
        <w:rPr>
          <w:rFonts w:ascii="Century Gothic" w:hAnsi="Century Gothic"/>
          <w:color w:val="808080"/>
          <w:sz w:val="28"/>
          <w:szCs w:val="28"/>
          <w:u w:color="808080"/>
          <w:lang w:val="en-US"/>
        </w:rPr>
        <w:t xml:space="preserve"> </w:t>
      </w:r>
      <w:r>
        <w:rPr>
          <w:rFonts w:ascii="Century Gothic" w:hAnsi="Century Gothic"/>
          <w:color w:val="808080"/>
          <w:sz w:val="28"/>
          <w:szCs w:val="28"/>
          <w:u w:color="808080"/>
          <w:lang w:val="en-US"/>
        </w:rPr>
        <w:t>-</w:t>
      </w:r>
      <w:r w:rsidR="001C1764">
        <w:rPr>
          <w:rFonts w:ascii="Century Gothic" w:hAnsi="Century Gothic"/>
          <w:color w:val="808080"/>
          <w:sz w:val="28"/>
          <w:szCs w:val="28"/>
          <w:u w:color="808080"/>
          <w:lang w:val="en-US"/>
        </w:rPr>
        <w:t xml:space="preserve"> </w:t>
      </w:r>
      <w:r w:rsidR="00506515">
        <w:rPr>
          <w:rFonts w:ascii="Century Gothic" w:hAnsi="Century Gothic"/>
          <w:i/>
          <w:iCs/>
          <w:color w:val="808080"/>
          <w:spacing w:val="80"/>
          <w:sz w:val="22"/>
          <w:szCs w:val="22"/>
          <w:u w:color="808080"/>
          <w:lang w:val="en-US"/>
        </w:rPr>
        <w:t>S</w:t>
      </w:r>
      <w:r w:rsidR="004F12AC">
        <w:rPr>
          <w:rFonts w:ascii="Century Gothic" w:hAnsi="Century Gothic"/>
          <w:i/>
          <w:iCs/>
          <w:color w:val="808080"/>
          <w:spacing w:val="80"/>
          <w:sz w:val="22"/>
          <w:szCs w:val="22"/>
          <w:u w:color="808080"/>
          <w:lang w:val="en-US"/>
        </w:rPr>
        <w:t xml:space="preserve">uze </w:t>
      </w:r>
      <w:r w:rsidR="00506515">
        <w:rPr>
          <w:rFonts w:ascii="Century Gothic" w:hAnsi="Century Gothic"/>
          <w:i/>
          <w:iCs/>
          <w:color w:val="808080"/>
          <w:spacing w:val="80"/>
          <w:sz w:val="22"/>
          <w:szCs w:val="22"/>
          <w:u w:color="808080"/>
          <w:lang w:val="en-US"/>
        </w:rPr>
        <w:t>O</w:t>
      </w:r>
      <w:r w:rsidR="004F12AC">
        <w:rPr>
          <w:rFonts w:ascii="Century Gothic" w:hAnsi="Century Gothic"/>
          <w:i/>
          <w:iCs/>
          <w:color w:val="808080"/>
          <w:spacing w:val="80"/>
          <w:sz w:val="22"/>
          <w:szCs w:val="22"/>
          <w:u w:color="808080"/>
          <w:lang w:val="en-US"/>
        </w:rPr>
        <w:t>rma</w:t>
      </w:r>
      <w:r w:rsidR="00086E8F">
        <w:rPr>
          <w:rFonts w:ascii="Century Gothic" w:hAnsi="Century Gothic"/>
          <w:i/>
          <w:iCs/>
          <w:color w:val="808080"/>
          <w:spacing w:val="80"/>
          <w:sz w:val="22"/>
          <w:szCs w:val="22"/>
          <w:u w:color="808080"/>
          <w:lang w:val="en-US"/>
        </w:rPr>
        <w:t>n</w:t>
      </w:r>
    </w:p>
    <w:p w14:paraId="280D04EF" w14:textId="77777777" w:rsidR="00D87660" w:rsidRDefault="00D87660">
      <w:pPr>
        <w:pStyle w:val="Body"/>
        <w:spacing w:line="276" w:lineRule="auto"/>
      </w:pPr>
    </w:p>
    <w:p w14:paraId="159F25B3" w14:textId="77777777" w:rsidR="0061228C" w:rsidRDefault="0061228C" w:rsidP="0061228C">
      <w:pPr>
        <w:pStyle w:val="Default"/>
        <w:rPr>
          <w:rFonts w:ascii="Century Gothic" w:hAnsi="Century Gothic"/>
          <w:b/>
          <w:bCs/>
          <w:color w:val="535353"/>
          <w:sz w:val="30"/>
          <w:szCs w:val="30"/>
          <w:shd w:val="clear" w:color="auto" w:fill="FFFFFF"/>
        </w:rPr>
      </w:pPr>
      <w:r w:rsidRPr="0061228C">
        <w:rPr>
          <w:rFonts w:ascii="Century Gothic" w:hAnsi="Century Gothic"/>
          <w:b/>
          <w:bCs/>
          <w:color w:val="535353"/>
          <w:sz w:val="30"/>
          <w:szCs w:val="30"/>
          <w:shd w:val="clear" w:color="auto" w:fill="FFFFFF"/>
        </w:rPr>
        <w:t>Housing market poised for 2025 comeback as lower rates unleash pent-up demand</w:t>
      </w:r>
    </w:p>
    <w:p w14:paraId="6CF1FB83" w14:textId="77777777" w:rsidR="0061228C" w:rsidRPr="00772E92" w:rsidRDefault="0061228C" w:rsidP="00E92CA7">
      <w:pPr>
        <w:pStyle w:val="Default"/>
        <w:rPr>
          <w:rFonts w:ascii="Century Gothic" w:hAnsi="Century Gothic"/>
          <w:b/>
          <w:bCs/>
          <w:color w:val="535353"/>
          <w:sz w:val="12"/>
          <w:szCs w:val="14"/>
          <w:shd w:val="clear" w:color="auto" w:fill="FFFFFF"/>
        </w:rPr>
      </w:pPr>
    </w:p>
    <w:p w14:paraId="6180F04D" w14:textId="77777777" w:rsidR="00361396" w:rsidRPr="00361396" w:rsidRDefault="00361396" w:rsidP="00361396">
      <w:pPr>
        <w:pStyle w:val="Default"/>
        <w:jc w:val="both"/>
        <w:rPr>
          <w:rFonts w:ascii="Century Gothic" w:hAnsi="Century Gothic"/>
          <w:color w:val="535353"/>
          <w:shd w:val="clear" w:color="auto" w:fill="FFFFFF"/>
        </w:rPr>
      </w:pPr>
      <w:r w:rsidRPr="00361396">
        <w:rPr>
          <w:rFonts w:ascii="Century Gothic" w:hAnsi="Century Gothic"/>
          <w:color w:val="535353"/>
          <w:shd w:val="clear" w:color="auto" w:fill="FFFFFF"/>
        </w:rPr>
        <w:t>Removing interprovincial trade barriers was a key priority for Prime Minister Mark Carney’s government in 2025 — and legislation that aims to achieve that has now come into force.</w:t>
      </w:r>
    </w:p>
    <w:p w14:paraId="2A8FADD0" w14:textId="77777777" w:rsidR="00361396" w:rsidRPr="00361396" w:rsidRDefault="00361396" w:rsidP="00361396">
      <w:pPr>
        <w:pStyle w:val="Default"/>
        <w:jc w:val="both"/>
        <w:rPr>
          <w:rFonts w:ascii="Century Gothic" w:hAnsi="Century Gothic"/>
          <w:color w:val="535353"/>
          <w:shd w:val="clear" w:color="auto" w:fill="FFFFFF"/>
        </w:rPr>
      </w:pPr>
    </w:p>
    <w:p w14:paraId="650BD75B" w14:textId="77777777" w:rsidR="00361396" w:rsidRPr="00361396" w:rsidRDefault="00361396" w:rsidP="00361396">
      <w:pPr>
        <w:pStyle w:val="Default"/>
        <w:jc w:val="both"/>
        <w:rPr>
          <w:rFonts w:ascii="Century Gothic" w:hAnsi="Century Gothic"/>
          <w:color w:val="535353"/>
          <w:shd w:val="clear" w:color="auto" w:fill="FFFFFF"/>
        </w:rPr>
      </w:pPr>
      <w:r w:rsidRPr="00361396">
        <w:rPr>
          <w:rFonts w:ascii="Century Gothic" w:hAnsi="Century Gothic"/>
          <w:color w:val="535353"/>
          <w:shd w:val="clear" w:color="auto" w:fill="FFFFFF"/>
        </w:rPr>
        <w:t xml:space="preserve">In November, the federal government announced it had finalized regulations first announced earlier in the year in Bill C-5, the Free Trade and </w:t>
      </w:r>
      <w:proofErr w:type="spellStart"/>
      <w:r w:rsidRPr="00361396">
        <w:rPr>
          <w:rFonts w:ascii="Century Gothic" w:hAnsi="Century Gothic"/>
          <w:color w:val="535353"/>
          <w:shd w:val="clear" w:color="auto" w:fill="FFFFFF"/>
        </w:rPr>
        <w:t>Labour</w:t>
      </w:r>
      <w:proofErr w:type="spellEnd"/>
      <w:r w:rsidRPr="00361396">
        <w:rPr>
          <w:rFonts w:ascii="Century Gothic" w:hAnsi="Century Gothic"/>
          <w:color w:val="535353"/>
          <w:shd w:val="clear" w:color="auto" w:fill="FFFFFF"/>
        </w:rPr>
        <w:t xml:space="preserve"> Mobility in Canada Act.</w:t>
      </w:r>
    </w:p>
    <w:p w14:paraId="1251B340" w14:textId="77777777" w:rsidR="00361396" w:rsidRPr="00361396" w:rsidRDefault="00361396" w:rsidP="00361396">
      <w:pPr>
        <w:pStyle w:val="Default"/>
        <w:jc w:val="both"/>
        <w:rPr>
          <w:rFonts w:ascii="Century Gothic" w:hAnsi="Century Gothic"/>
          <w:color w:val="535353"/>
          <w:shd w:val="clear" w:color="auto" w:fill="FFFFFF"/>
        </w:rPr>
      </w:pPr>
    </w:p>
    <w:p w14:paraId="63565505" w14:textId="77777777" w:rsidR="00361396" w:rsidRPr="00361396" w:rsidRDefault="00361396" w:rsidP="00361396">
      <w:pPr>
        <w:pStyle w:val="Default"/>
        <w:jc w:val="both"/>
        <w:rPr>
          <w:rFonts w:ascii="Century Gothic" w:hAnsi="Century Gothic"/>
          <w:color w:val="535353"/>
          <w:shd w:val="clear" w:color="auto" w:fill="FFFFFF"/>
        </w:rPr>
      </w:pPr>
      <w:r w:rsidRPr="00361396">
        <w:rPr>
          <w:rFonts w:ascii="Century Gothic" w:hAnsi="Century Gothic"/>
          <w:color w:val="535353"/>
          <w:shd w:val="clear" w:color="auto" w:fill="FFFFFF"/>
        </w:rPr>
        <w:t>As of Jan. 1, provincial regulations and requirements for goods and services, as well as worker licenses and certificates, will be recognized at the federal level too.</w:t>
      </w:r>
    </w:p>
    <w:p w14:paraId="0208988E" w14:textId="77777777" w:rsidR="00361396" w:rsidRPr="00361396" w:rsidRDefault="00361396" w:rsidP="00361396">
      <w:pPr>
        <w:pStyle w:val="Default"/>
        <w:jc w:val="both"/>
        <w:rPr>
          <w:rFonts w:ascii="Century Gothic" w:hAnsi="Century Gothic"/>
          <w:color w:val="535353"/>
          <w:shd w:val="clear" w:color="auto" w:fill="FFFFFF"/>
        </w:rPr>
      </w:pPr>
    </w:p>
    <w:p w14:paraId="1ED13D1B" w14:textId="77777777" w:rsidR="00361396" w:rsidRPr="00361396" w:rsidRDefault="00361396" w:rsidP="00361396">
      <w:pPr>
        <w:pStyle w:val="Default"/>
        <w:jc w:val="both"/>
        <w:rPr>
          <w:rFonts w:ascii="Century Gothic" w:hAnsi="Century Gothic"/>
          <w:color w:val="535353"/>
          <w:shd w:val="clear" w:color="auto" w:fill="FFFFFF"/>
        </w:rPr>
      </w:pPr>
      <w:r w:rsidRPr="00361396">
        <w:rPr>
          <w:rFonts w:ascii="Century Gothic" w:hAnsi="Century Gothic"/>
          <w:color w:val="535353"/>
          <w:shd w:val="clear" w:color="auto" w:fill="FFFFFF"/>
        </w:rPr>
        <w:t>“This removes duplication and red tape across the country, strengthening our economy for Canadian workers, businesses, and consumers,” said a government press release in November.</w:t>
      </w:r>
    </w:p>
    <w:p w14:paraId="5C21ED28" w14:textId="77777777" w:rsidR="00361396" w:rsidRPr="00361396" w:rsidRDefault="00361396" w:rsidP="00361396">
      <w:pPr>
        <w:pStyle w:val="Default"/>
        <w:jc w:val="both"/>
        <w:rPr>
          <w:rFonts w:ascii="Century Gothic" w:hAnsi="Century Gothic"/>
          <w:color w:val="535353"/>
          <w:shd w:val="clear" w:color="auto" w:fill="FFFFFF"/>
        </w:rPr>
      </w:pPr>
    </w:p>
    <w:p w14:paraId="1C93F8CA" w14:textId="77777777" w:rsidR="00361396" w:rsidRPr="00361396" w:rsidRDefault="00361396" w:rsidP="00361396">
      <w:pPr>
        <w:pStyle w:val="Default"/>
        <w:jc w:val="both"/>
        <w:rPr>
          <w:rFonts w:ascii="Century Gothic" w:hAnsi="Century Gothic"/>
          <w:color w:val="535353"/>
          <w:shd w:val="clear" w:color="auto" w:fill="FFFFFF"/>
        </w:rPr>
      </w:pPr>
      <w:r w:rsidRPr="00361396">
        <w:rPr>
          <w:rFonts w:ascii="Century Gothic" w:hAnsi="Century Gothic"/>
          <w:color w:val="535353"/>
          <w:shd w:val="clear" w:color="auto" w:fill="FFFFFF"/>
        </w:rPr>
        <w:t>The bill incorporates a list of exemptions including food and alcohol.</w:t>
      </w:r>
    </w:p>
    <w:p w14:paraId="73BC2E61" w14:textId="77777777" w:rsidR="00361396" w:rsidRPr="00361396" w:rsidRDefault="00361396" w:rsidP="00361396">
      <w:pPr>
        <w:pStyle w:val="Default"/>
        <w:jc w:val="both"/>
        <w:rPr>
          <w:rFonts w:ascii="Century Gothic" w:hAnsi="Century Gothic"/>
          <w:color w:val="535353"/>
          <w:shd w:val="clear" w:color="auto" w:fill="FFFFFF"/>
        </w:rPr>
      </w:pPr>
    </w:p>
    <w:p w14:paraId="154C26A4" w14:textId="77777777" w:rsidR="00361396" w:rsidRPr="00361396" w:rsidRDefault="00361396" w:rsidP="00361396">
      <w:pPr>
        <w:pStyle w:val="Default"/>
        <w:jc w:val="both"/>
        <w:rPr>
          <w:rFonts w:ascii="Century Gothic" w:hAnsi="Century Gothic"/>
          <w:color w:val="535353"/>
          <w:shd w:val="clear" w:color="auto" w:fill="FFFFFF"/>
        </w:rPr>
      </w:pPr>
      <w:r w:rsidRPr="00361396">
        <w:rPr>
          <w:rFonts w:ascii="Century Gothic" w:hAnsi="Century Gothic"/>
          <w:color w:val="535353"/>
          <w:shd w:val="clear" w:color="auto" w:fill="FFFFFF"/>
        </w:rPr>
        <w:t>“I think symbolically it’s a really good way to start off the year. (In terms of) actual impact, I think it’s more the provinces than the feds we’re looking for action from,” said Ryan Mallough, VP of legislative affairs with the Canadian Federation of Independent Business, in an interview with CTV News.</w:t>
      </w:r>
    </w:p>
    <w:p w14:paraId="25732E88" w14:textId="77777777" w:rsidR="00361396" w:rsidRPr="00361396" w:rsidRDefault="00361396" w:rsidP="00361396">
      <w:pPr>
        <w:pStyle w:val="Default"/>
        <w:jc w:val="both"/>
        <w:rPr>
          <w:rFonts w:ascii="Century Gothic" w:hAnsi="Century Gothic"/>
          <w:color w:val="535353"/>
          <w:shd w:val="clear" w:color="auto" w:fill="FFFFFF"/>
        </w:rPr>
      </w:pPr>
    </w:p>
    <w:p w14:paraId="4ECCDFC9" w14:textId="77777777" w:rsidR="00361396" w:rsidRPr="00361396" w:rsidRDefault="00361396" w:rsidP="00361396">
      <w:pPr>
        <w:pStyle w:val="Default"/>
        <w:jc w:val="both"/>
        <w:rPr>
          <w:rFonts w:ascii="Century Gothic" w:hAnsi="Century Gothic"/>
          <w:color w:val="535353"/>
          <w:shd w:val="clear" w:color="auto" w:fill="FFFFFF"/>
        </w:rPr>
      </w:pPr>
      <w:r w:rsidRPr="00361396">
        <w:rPr>
          <w:rFonts w:ascii="Century Gothic" w:hAnsi="Century Gothic"/>
          <w:color w:val="535353"/>
          <w:shd w:val="clear" w:color="auto" w:fill="FFFFFF"/>
        </w:rPr>
        <w:t>A separate mutual recognition agreement signed by all provinces and the federal government is also set to be implemented by June and would further impact interprovincial trade.</w:t>
      </w:r>
    </w:p>
    <w:p w14:paraId="24B20DB2" w14:textId="77777777" w:rsidR="00361396" w:rsidRPr="00361396" w:rsidRDefault="00361396" w:rsidP="00361396">
      <w:pPr>
        <w:pStyle w:val="Default"/>
        <w:jc w:val="both"/>
        <w:rPr>
          <w:rFonts w:ascii="Century Gothic" w:hAnsi="Century Gothic"/>
          <w:color w:val="535353"/>
          <w:shd w:val="clear" w:color="auto" w:fill="FFFFFF"/>
        </w:rPr>
      </w:pPr>
    </w:p>
    <w:p w14:paraId="5DC419D0" w14:textId="77777777" w:rsidR="00361396" w:rsidRPr="00361396" w:rsidRDefault="00361396" w:rsidP="00361396">
      <w:pPr>
        <w:pStyle w:val="Default"/>
        <w:jc w:val="both"/>
        <w:rPr>
          <w:rFonts w:ascii="Century Gothic" w:hAnsi="Century Gothic"/>
          <w:color w:val="535353"/>
          <w:shd w:val="clear" w:color="auto" w:fill="FFFFFF"/>
        </w:rPr>
      </w:pPr>
      <w:r w:rsidRPr="00361396">
        <w:rPr>
          <w:rFonts w:ascii="Century Gothic" w:hAnsi="Century Gothic"/>
          <w:color w:val="535353"/>
          <w:shd w:val="clear" w:color="auto" w:fill="FFFFFF"/>
        </w:rPr>
        <w:t>But experts suggest that with key goods excluded in both cases, there are still significant challenges.</w:t>
      </w:r>
    </w:p>
    <w:p w14:paraId="471F2A96" w14:textId="77777777" w:rsidR="00361396" w:rsidRPr="00361396" w:rsidRDefault="00361396" w:rsidP="00361396">
      <w:pPr>
        <w:pStyle w:val="Default"/>
        <w:jc w:val="both"/>
        <w:rPr>
          <w:rFonts w:ascii="Century Gothic" w:hAnsi="Century Gothic"/>
          <w:color w:val="535353"/>
          <w:shd w:val="clear" w:color="auto" w:fill="FFFFFF"/>
        </w:rPr>
      </w:pPr>
    </w:p>
    <w:p w14:paraId="11B19729" w14:textId="77777777" w:rsidR="00361396" w:rsidRPr="00361396" w:rsidRDefault="00361396" w:rsidP="00361396">
      <w:pPr>
        <w:pStyle w:val="Default"/>
        <w:jc w:val="both"/>
        <w:rPr>
          <w:rFonts w:ascii="Century Gothic" w:hAnsi="Century Gothic"/>
          <w:color w:val="535353"/>
          <w:shd w:val="clear" w:color="auto" w:fill="FFFFFF"/>
        </w:rPr>
      </w:pPr>
      <w:r w:rsidRPr="00361396">
        <w:rPr>
          <w:rFonts w:ascii="Century Gothic" w:hAnsi="Century Gothic"/>
          <w:color w:val="535353"/>
          <w:shd w:val="clear" w:color="auto" w:fill="FFFFFF"/>
        </w:rPr>
        <w:t>“Alcohol - beer, wine, spirits - is one example that we hear a lot about, and so there are still ongoing conversations at the provincial level to make it easier to move those goods across borders,” said Stuart Trew, International Trade Policy Researcher with the Canadian Centre for Policy Alternatives.</w:t>
      </w:r>
    </w:p>
    <w:p w14:paraId="6500AB20" w14:textId="77777777" w:rsidR="00361396" w:rsidRPr="00361396" w:rsidRDefault="00361396" w:rsidP="00361396">
      <w:pPr>
        <w:pStyle w:val="Default"/>
        <w:jc w:val="both"/>
        <w:rPr>
          <w:rFonts w:ascii="Century Gothic" w:hAnsi="Century Gothic"/>
          <w:color w:val="535353"/>
          <w:shd w:val="clear" w:color="auto" w:fill="FFFFFF"/>
        </w:rPr>
      </w:pPr>
    </w:p>
    <w:p w14:paraId="65B1E368" w14:textId="77777777" w:rsidR="00361396" w:rsidRPr="00361396" w:rsidRDefault="00361396" w:rsidP="00361396">
      <w:pPr>
        <w:pStyle w:val="Default"/>
        <w:jc w:val="both"/>
        <w:rPr>
          <w:rFonts w:ascii="Century Gothic" w:hAnsi="Century Gothic"/>
          <w:color w:val="535353"/>
          <w:shd w:val="clear" w:color="auto" w:fill="FFFFFF"/>
        </w:rPr>
      </w:pPr>
      <w:r w:rsidRPr="00361396">
        <w:rPr>
          <w:rFonts w:ascii="Century Gothic" w:hAnsi="Century Gothic"/>
          <w:color w:val="535353"/>
          <w:shd w:val="clear" w:color="auto" w:fill="FFFFFF"/>
        </w:rPr>
        <w:t>While 2025 saw governments across the board push to trade more within the country – several bilateral agreements were signed between provinces – experts suggest 2026 needs to be about following through on those promises.</w:t>
      </w:r>
    </w:p>
    <w:p w14:paraId="746E057D" w14:textId="77777777" w:rsidR="00361396" w:rsidRPr="00361396" w:rsidRDefault="00361396" w:rsidP="00361396">
      <w:pPr>
        <w:pStyle w:val="Default"/>
        <w:jc w:val="both"/>
        <w:rPr>
          <w:rFonts w:ascii="Century Gothic" w:hAnsi="Century Gothic"/>
          <w:color w:val="535353"/>
          <w:shd w:val="clear" w:color="auto" w:fill="FFFFFF"/>
        </w:rPr>
      </w:pPr>
    </w:p>
    <w:p w14:paraId="3BD57E27" w14:textId="77777777" w:rsidR="00361396" w:rsidRPr="00361396" w:rsidRDefault="00361396" w:rsidP="00361396">
      <w:pPr>
        <w:pStyle w:val="Default"/>
        <w:jc w:val="both"/>
        <w:rPr>
          <w:rFonts w:ascii="Century Gothic" w:hAnsi="Century Gothic"/>
          <w:color w:val="535353"/>
          <w:shd w:val="clear" w:color="auto" w:fill="FFFFFF"/>
        </w:rPr>
      </w:pPr>
      <w:r w:rsidRPr="00361396">
        <w:rPr>
          <w:rFonts w:ascii="Century Gothic" w:hAnsi="Century Gothic"/>
          <w:color w:val="535353"/>
          <w:shd w:val="clear" w:color="auto" w:fill="FFFFFF"/>
        </w:rPr>
        <w:t xml:space="preserve">“There need to be tangible action on the ground this year and it needs to come quickly because the CUSMA threat is hanging over all of us,” said </w:t>
      </w:r>
      <w:proofErr w:type="spellStart"/>
      <w:r w:rsidRPr="00361396">
        <w:rPr>
          <w:rFonts w:ascii="Century Gothic" w:hAnsi="Century Gothic"/>
          <w:color w:val="535353"/>
          <w:shd w:val="clear" w:color="auto" w:fill="FFFFFF"/>
        </w:rPr>
        <w:t>Mallough</w:t>
      </w:r>
      <w:proofErr w:type="spellEnd"/>
      <w:r w:rsidRPr="00361396">
        <w:rPr>
          <w:rFonts w:ascii="Century Gothic" w:hAnsi="Century Gothic"/>
          <w:color w:val="535353"/>
          <w:shd w:val="clear" w:color="auto" w:fill="FFFFFF"/>
        </w:rPr>
        <w:t>.</w:t>
      </w:r>
    </w:p>
    <w:p w14:paraId="08556DD2" w14:textId="77777777" w:rsidR="00361396" w:rsidRPr="00361396" w:rsidRDefault="00361396" w:rsidP="00361396">
      <w:pPr>
        <w:pStyle w:val="Default"/>
        <w:jc w:val="both"/>
        <w:rPr>
          <w:rFonts w:ascii="Century Gothic" w:hAnsi="Century Gothic"/>
          <w:color w:val="535353"/>
          <w:shd w:val="clear" w:color="auto" w:fill="FFFFFF"/>
        </w:rPr>
      </w:pPr>
    </w:p>
    <w:p w14:paraId="789EFF50" w14:textId="7CBA200C" w:rsidR="00361396" w:rsidRPr="00361396" w:rsidRDefault="00361396" w:rsidP="00361396">
      <w:pPr>
        <w:pStyle w:val="Default"/>
        <w:jc w:val="both"/>
        <w:rPr>
          <w:rFonts w:ascii="Century Gothic" w:hAnsi="Century Gothic"/>
          <w:color w:val="535353"/>
          <w:shd w:val="clear" w:color="auto" w:fill="FFFFFF"/>
        </w:rPr>
      </w:pPr>
      <w:r w:rsidRPr="00361396">
        <w:rPr>
          <w:rFonts w:ascii="Century Gothic" w:hAnsi="Century Gothic"/>
          <w:color w:val="535353"/>
          <w:shd w:val="clear" w:color="auto" w:fill="FFFFFF"/>
        </w:rPr>
        <w:t>On the international trade front the stakes couldn’t be higher.</w:t>
      </w:r>
    </w:p>
    <w:p w14:paraId="06B58811" w14:textId="77777777" w:rsidR="00361396" w:rsidRPr="00361396" w:rsidRDefault="00361396" w:rsidP="00361396">
      <w:pPr>
        <w:pStyle w:val="Default"/>
        <w:jc w:val="both"/>
        <w:rPr>
          <w:rFonts w:ascii="Century Gothic" w:hAnsi="Century Gothic"/>
          <w:color w:val="535353"/>
          <w:shd w:val="clear" w:color="auto" w:fill="FFFFFF"/>
        </w:rPr>
      </w:pPr>
      <w:r w:rsidRPr="00361396">
        <w:rPr>
          <w:rFonts w:ascii="Century Gothic" w:hAnsi="Century Gothic"/>
          <w:color w:val="535353"/>
          <w:shd w:val="clear" w:color="auto" w:fill="FFFFFF"/>
        </w:rPr>
        <w:lastRenderedPageBreak/>
        <w:t>The Canada-U.S.-Mexico Agreement (CUSMA) is up for review this year, and Trew suggests the uncertainty is only putting more pressure on bolstering Canada’s domestic economy.</w:t>
      </w:r>
    </w:p>
    <w:p w14:paraId="7D31AC25" w14:textId="77777777" w:rsidR="00361396" w:rsidRPr="00361396" w:rsidRDefault="00361396" w:rsidP="00361396">
      <w:pPr>
        <w:pStyle w:val="Default"/>
        <w:jc w:val="both"/>
        <w:rPr>
          <w:rFonts w:ascii="Century Gothic" w:hAnsi="Century Gothic"/>
          <w:color w:val="535353"/>
          <w:shd w:val="clear" w:color="auto" w:fill="FFFFFF"/>
        </w:rPr>
      </w:pPr>
    </w:p>
    <w:p w14:paraId="75A5FB94" w14:textId="77777777" w:rsidR="00361396" w:rsidRPr="00361396" w:rsidRDefault="00361396" w:rsidP="00361396">
      <w:pPr>
        <w:pStyle w:val="Default"/>
        <w:jc w:val="both"/>
        <w:rPr>
          <w:rFonts w:ascii="Century Gothic" w:hAnsi="Century Gothic"/>
          <w:color w:val="535353"/>
          <w:shd w:val="clear" w:color="auto" w:fill="FFFFFF"/>
        </w:rPr>
      </w:pPr>
      <w:r w:rsidRPr="00361396">
        <w:rPr>
          <w:rFonts w:ascii="Century Gothic" w:hAnsi="Century Gothic"/>
          <w:color w:val="535353"/>
          <w:shd w:val="clear" w:color="auto" w:fill="FFFFFF"/>
        </w:rPr>
        <w:t>“I think it’s fundamental (to) our ability to respond to the threat from the United States,” he said.</w:t>
      </w:r>
    </w:p>
    <w:p w14:paraId="7BB14B95" w14:textId="77777777" w:rsidR="00361396" w:rsidRPr="00361396" w:rsidRDefault="00361396" w:rsidP="00361396">
      <w:pPr>
        <w:pStyle w:val="Default"/>
        <w:jc w:val="both"/>
        <w:rPr>
          <w:rFonts w:ascii="Century Gothic" w:hAnsi="Century Gothic"/>
          <w:color w:val="535353"/>
          <w:shd w:val="clear" w:color="auto" w:fill="FFFFFF"/>
        </w:rPr>
      </w:pPr>
    </w:p>
    <w:p w14:paraId="5BAD85D8" w14:textId="77777777" w:rsidR="00361396" w:rsidRPr="00361396" w:rsidRDefault="00361396" w:rsidP="00361396">
      <w:pPr>
        <w:pStyle w:val="Default"/>
        <w:jc w:val="both"/>
        <w:rPr>
          <w:rFonts w:ascii="Century Gothic" w:hAnsi="Century Gothic"/>
          <w:color w:val="535353"/>
          <w:shd w:val="clear" w:color="auto" w:fill="FFFFFF"/>
        </w:rPr>
      </w:pPr>
      <w:r w:rsidRPr="00361396">
        <w:rPr>
          <w:rFonts w:ascii="Century Gothic" w:hAnsi="Century Gothic"/>
          <w:color w:val="535353"/>
          <w:shd w:val="clear" w:color="auto" w:fill="FFFFFF"/>
        </w:rPr>
        <w:t>Trew also says he believes tariffs won’t go away even if a new free trade agreement is signed.</w:t>
      </w:r>
    </w:p>
    <w:p w14:paraId="2AF48CE8" w14:textId="77777777" w:rsidR="00361396" w:rsidRPr="00361396" w:rsidRDefault="00361396" w:rsidP="00361396">
      <w:pPr>
        <w:pStyle w:val="Default"/>
        <w:jc w:val="both"/>
        <w:rPr>
          <w:rFonts w:ascii="Century Gothic" w:hAnsi="Century Gothic"/>
          <w:color w:val="535353"/>
          <w:shd w:val="clear" w:color="auto" w:fill="FFFFFF"/>
        </w:rPr>
      </w:pPr>
    </w:p>
    <w:p w14:paraId="02CE672B" w14:textId="77777777" w:rsidR="00361396" w:rsidRPr="00361396" w:rsidRDefault="00361396" w:rsidP="00361396">
      <w:pPr>
        <w:pStyle w:val="Default"/>
        <w:jc w:val="both"/>
        <w:rPr>
          <w:rFonts w:ascii="Century Gothic" w:hAnsi="Century Gothic"/>
          <w:color w:val="535353"/>
          <w:shd w:val="clear" w:color="auto" w:fill="FFFFFF"/>
        </w:rPr>
      </w:pPr>
      <w:r w:rsidRPr="00361396">
        <w:rPr>
          <w:rFonts w:ascii="Century Gothic" w:hAnsi="Century Gothic"/>
          <w:color w:val="535353"/>
          <w:shd w:val="clear" w:color="auto" w:fill="FFFFFF"/>
        </w:rPr>
        <w:t>While CUSMA has helped Canada avoid the widespread impacts of tariffs on the economy, the steel and aluminum, lumber and auto sectors have been hit hard.</w:t>
      </w:r>
    </w:p>
    <w:p w14:paraId="435889A7" w14:textId="77777777" w:rsidR="00361396" w:rsidRPr="00361396" w:rsidRDefault="00361396" w:rsidP="00361396">
      <w:pPr>
        <w:pStyle w:val="Default"/>
        <w:jc w:val="both"/>
        <w:rPr>
          <w:rFonts w:ascii="Century Gothic" w:hAnsi="Century Gothic"/>
          <w:color w:val="535353"/>
          <w:shd w:val="clear" w:color="auto" w:fill="FFFFFF"/>
        </w:rPr>
      </w:pPr>
    </w:p>
    <w:p w14:paraId="36A5ABE1" w14:textId="77777777" w:rsidR="00361396" w:rsidRPr="00361396" w:rsidRDefault="00361396" w:rsidP="00361396">
      <w:pPr>
        <w:pStyle w:val="Default"/>
        <w:jc w:val="both"/>
        <w:rPr>
          <w:rFonts w:ascii="Century Gothic" w:hAnsi="Century Gothic"/>
          <w:color w:val="535353"/>
          <w:shd w:val="clear" w:color="auto" w:fill="FFFFFF"/>
        </w:rPr>
      </w:pPr>
      <w:r w:rsidRPr="00361396">
        <w:rPr>
          <w:rFonts w:ascii="Century Gothic" w:hAnsi="Century Gothic"/>
          <w:color w:val="535353"/>
          <w:shd w:val="clear" w:color="auto" w:fill="FFFFFF"/>
        </w:rPr>
        <w:t xml:space="preserve">“The fifty percent steel tariffs will in the short to medium term will probably substantially hurt if not destroy Canadian steel production, so that’s something we have to get a handle on,” said Trew. “We </w:t>
      </w:r>
      <w:proofErr w:type="gramStart"/>
      <w:r w:rsidRPr="00361396">
        <w:rPr>
          <w:rFonts w:ascii="Century Gothic" w:hAnsi="Century Gothic"/>
          <w:color w:val="535353"/>
          <w:shd w:val="clear" w:color="auto" w:fill="FFFFFF"/>
        </w:rPr>
        <w:t>have to</w:t>
      </w:r>
      <w:proofErr w:type="gramEnd"/>
      <w:r w:rsidRPr="00361396">
        <w:rPr>
          <w:rFonts w:ascii="Century Gothic" w:hAnsi="Century Gothic"/>
          <w:color w:val="535353"/>
          <w:shd w:val="clear" w:color="auto" w:fill="FFFFFF"/>
        </w:rPr>
        <w:t xml:space="preserve"> get a handle on the lumber tariffs; we need some resolution to that. We also </w:t>
      </w:r>
      <w:proofErr w:type="gramStart"/>
      <w:r w:rsidRPr="00361396">
        <w:rPr>
          <w:rFonts w:ascii="Century Gothic" w:hAnsi="Century Gothic"/>
          <w:color w:val="535353"/>
          <w:shd w:val="clear" w:color="auto" w:fill="FFFFFF"/>
        </w:rPr>
        <w:t>have to</w:t>
      </w:r>
      <w:proofErr w:type="gramEnd"/>
      <w:r w:rsidRPr="00361396">
        <w:rPr>
          <w:rFonts w:ascii="Century Gothic" w:hAnsi="Century Gothic"/>
          <w:color w:val="535353"/>
          <w:shd w:val="clear" w:color="auto" w:fill="FFFFFF"/>
        </w:rPr>
        <w:t xml:space="preserve"> deal on an emergency level with automotive trade.”</w:t>
      </w:r>
    </w:p>
    <w:p w14:paraId="0CBFA9EA" w14:textId="77777777" w:rsidR="00361396" w:rsidRPr="00361396" w:rsidRDefault="00361396" w:rsidP="00361396">
      <w:pPr>
        <w:pStyle w:val="Default"/>
        <w:jc w:val="both"/>
        <w:rPr>
          <w:rFonts w:ascii="Century Gothic" w:hAnsi="Century Gothic"/>
          <w:color w:val="535353"/>
          <w:shd w:val="clear" w:color="auto" w:fill="FFFFFF"/>
        </w:rPr>
      </w:pPr>
    </w:p>
    <w:p w14:paraId="2FE61AF3" w14:textId="77777777" w:rsidR="00361396" w:rsidRPr="00361396" w:rsidRDefault="00361396" w:rsidP="00361396">
      <w:pPr>
        <w:pStyle w:val="Default"/>
        <w:jc w:val="both"/>
        <w:rPr>
          <w:rFonts w:ascii="Century Gothic" w:hAnsi="Century Gothic"/>
          <w:color w:val="535353"/>
          <w:shd w:val="clear" w:color="auto" w:fill="FFFFFF"/>
        </w:rPr>
      </w:pPr>
      <w:r w:rsidRPr="00361396">
        <w:rPr>
          <w:rFonts w:ascii="Century Gothic" w:hAnsi="Century Gothic"/>
          <w:color w:val="535353"/>
          <w:shd w:val="clear" w:color="auto" w:fill="FFFFFF"/>
        </w:rPr>
        <w:t>Formal talks for the review of CUSMA are set to get underway in mid-January ahead of a July deadline.</w:t>
      </w:r>
    </w:p>
    <w:p w14:paraId="29A4A4CF" w14:textId="77777777" w:rsidR="00361396" w:rsidRPr="00361396" w:rsidRDefault="00361396" w:rsidP="00361396">
      <w:pPr>
        <w:pStyle w:val="Default"/>
        <w:jc w:val="both"/>
        <w:rPr>
          <w:rFonts w:ascii="Century Gothic" w:hAnsi="Century Gothic"/>
          <w:color w:val="535353"/>
          <w:shd w:val="clear" w:color="auto" w:fill="FFFFFF"/>
        </w:rPr>
      </w:pPr>
    </w:p>
    <w:p w14:paraId="6A781200" w14:textId="2C536C72" w:rsidR="00E92CA7" w:rsidRPr="0061228C" w:rsidRDefault="00361396" w:rsidP="00361396">
      <w:pPr>
        <w:pStyle w:val="Default"/>
        <w:jc w:val="both"/>
        <w:rPr>
          <w:rFonts w:ascii="Century Gothic" w:hAnsi="Century Gothic"/>
          <w:color w:val="535353"/>
          <w:shd w:val="clear" w:color="auto" w:fill="FFFFFF"/>
        </w:rPr>
      </w:pPr>
      <w:r w:rsidRPr="00361396">
        <w:rPr>
          <w:rFonts w:ascii="Century Gothic" w:hAnsi="Century Gothic"/>
          <w:color w:val="535353"/>
          <w:shd w:val="clear" w:color="auto" w:fill="FFFFFF"/>
        </w:rPr>
        <w:t>That’s when a decision will have to be made on whether to extend the agreement as is, negotiate a new one, or either country could also choose to walk away.</w:t>
      </w:r>
    </w:p>
    <w:p w14:paraId="591D2219" w14:textId="77777777" w:rsidR="0061228C" w:rsidRDefault="0061228C">
      <w:pPr>
        <w:pStyle w:val="Default"/>
        <w:spacing w:line="288" w:lineRule="auto"/>
        <w:rPr>
          <w:rFonts w:ascii="Century Gothic" w:eastAsia="Century Gothic" w:hAnsi="Century Gothic" w:cs="Century Gothic"/>
          <w:color w:val="535353"/>
          <w:shd w:val="clear" w:color="auto" w:fill="FFFFFF"/>
        </w:rPr>
      </w:pPr>
    </w:p>
    <w:p w14:paraId="24E8EC66" w14:textId="77777777" w:rsidR="00361396" w:rsidRDefault="00361396" w:rsidP="0061228C">
      <w:pPr>
        <w:pStyle w:val="Default"/>
        <w:jc w:val="both"/>
        <w:rPr>
          <w:rFonts w:ascii="Century Gothic" w:hAnsi="Century Gothic"/>
          <w:b/>
          <w:bCs/>
          <w:color w:val="535353"/>
          <w:sz w:val="30"/>
          <w:szCs w:val="30"/>
          <w:shd w:val="clear" w:color="auto" w:fill="FFFFFF"/>
        </w:rPr>
      </w:pPr>
      <w:r w:rsidRPr="00361396">
        <w:rPr>
          <w:rFonts w:ascii="Century Gothic" w:hAnsi="Century Gothic"/>
          <w:b/>
          <w:bCs/>
          <w:color w:val="535353"/>
          <w:sz w:val="30"/>
          <w:szCs w:val="30"/>
          <w:shd w:val="clear" w:color="auto" w:fill="FFFFFF"/>
        </w:rPr>
        <w:t>Canada partners with tech firm to boost government efficiency</w:t>
      </w:r>
    </w:p>
    <w:p w14:paraId="2324104F" w14:textId="77777777" w:rsidR="00361396" w:rsidRPr="00772E92" w:rsidRDefault="00361396" w:rsidP="0061228C">
      <w:pPr>
        <w:pStyle w:val="Default"/>
        <w:jc w:val="both"/>
        <w:rPr>
          <w:rFonts w:ascii="Century Gothic" w:hAnsi="Century Gothic"/>
          <w:b/>
          <w:bCs/>
          <w:color w:val="535353"/>
          <w:sz w:val="12"/>
          <w:szCs w:val="12"/>
          <w:shd w:val="clear" w:color="auto" w:fill="FFFFFF"/>
        </w:rPr>
      </w:pPr>
    </w:p>
    <w:p w14:paraId="70E811F5" w14:textId="77777777" w:rsidR="00361396" w:rsidRPr="00361396" w:rsidRDefault="00361396" w:rsidP="00361396">
      <w:pPr>
        <w:pStyle w:val="Default"/>
        <w:jc w:val="both"/>
        <w:rPr>
          <w:rFonts w:ascii="Century Gothic" w:hAnsi="Century Gothic"/>
          <w:color w:val="535353"/>
          <w:shd w:val="clear" w:color="auto" w:fill="FFFFFF"/>
        </w:rPr>
      </w:pPr>
      <w:r w:rsidRPr="00361396">
        <w:rPr>
          <w:rFonts w:ascii="Century Gothic" w:hAnsi="Century Gothic"/>
          <w:color w:val="535353"/>
          <w:shd w:val="clear" w:color="auto" w:fill="FFFFFF"/>
        </w:rPr>
        <w:t>Canada is actively integrating technology to drive a major shift in the way it delivers services to the public.</w:t>
      </w:r>
    </w:p>
    <w:p w14:paraId="1205DFCA" w14:textId="77777777" w:rsidR="00361396" w:rsidRPr="00361396" w:rsidRDefault="00361396" w:rsidP="00361396">
      <w:pPr>
        <w:pStyle w:val="Default"/>
        <w:jc w:val="both"/>
        <w:rPr>
          <w:rFonts w:ascii="Century Gothic" w:hAnsi="Century Gothic"/>
          <w:color w:val="535353"/>
          <w:shd w:val="clear" w:color="auto" w:fill="FFFFFF"/>
        </w:rPr>
      </w:pPr>
    </w:p>
    <w:p w14:paraId="0666FE8F" w14:textId="77777777" w:rsidR="00361396" w:rsidRPr="00361396" w:rsidRDefault="00361396" w:rsidP="00361396">
      <w:pPr>
        <w:pStyle w:val="Default"/>
        <w:jc w:val="both"/>
        <w:rPr>
          <w:rFonts w:ascii="Century Gothic" w:hAnsi="Century Gothic"/>
          <w:color w:val="535353"/>
          <w:shd w:val="clear" w:color="auto" w:fill="FFFFFF"/>
        </w:rPr>
      </w:pPr>
      <w:r w:rsidRPr="00361396">
        <w:rPr>
          <w:rFonts w:ascii="Century Gothic" w:hAnsi="Century Gothic"/>
          <w:color w:val="535353"/>
          <w:shd w:val="clear" w:color="auto" w:fill="FFFFFF"/>
        </w:rPr>
        <w:t>The federal government aims to modernize digital workflows and reduce the load of heavy paperwork across its departments by capitalizing on artificial intelligence.</w:t>
      </w:r>
    </w:p>
    <w:p w14:paraId="384073F0" w14:textId="77777777" w:rsidR="00361396" w:rsidRPr="00361396" w:rsidRDefault="00361396" w:rsidP="00361396">
      <w:pPr>
        <w:pStyle w:val="Default"/>
        <w:jc w:val="both"/>
        <w:rPr>
          <w:rFonts w:ascii="Century Gothic" w:hAnsi="Century Gothic"/>
          <w:color w:val="535353"/>
          <w:shd w:val="clear" w:color="auto" w:fill="FFFFFF"/>
        </w:rPr>
      </w:pPr>
    </w:p>
    <w:p w14:paraId="1BAC9CAD" w14:textId="77777777" w:rsidR="00361396" w:rsidRPr="00361396" w:rsidRDefault="00361396" w:rsidP="00361396">
      <w:pPr>
        <w:pStyle w:val="Default"/>
        <w:jc w:val="both"/>
        <w:rPr>
          <w:rFonts w:ascii="Century Gothic" w:hAnsi="Century Gothic"/>
          <w:color w:val="535353"/>
          <w:shd w:val="clear" w:color="auto" w:fill="FFFFFF"/>
        </w:rPr>
      </w:pPr>
      <w:r w:rsidRPr="00361396">
        <w:rPr>
          <w:rFonts w:ascii="Century Gothic" w:hAnsi="Century Gothic"/>
          <w:color w:val="535353"/>
          <w:shd w:val="clear" w:color="auto" w:fill="FFFFFF"/>
        </w:rPr>
        <w:t xml:space="preserve">“I think it’s a real railroad moment, the way I say it, for Canada,” Louis Têtu, executive chairman of the board at </w:t>
      </w:r>
      <w:proofErr w:type="spellStart"/>
      <w:r w:rsidRPr="00361396">
        <w:rPr>
          <w:rFonts w:ascii="Century Gothic" w:hAnsi="Century Gothic"/>
          <w:color w:val="535353"/>
          <w:shd w:val="clear" w:color="auto" w:fill="FFFFFF"/>
        </w:rPr>
        <w:t>Coveo</w:t>
      </w:r>
      <w:proofErr w:type="spellEnd"/>
      <w:r w:rsidRPr="00361396">
        <w:rPr>
          <w:rFonts w:ascii="Century Gothic" w:hAnsi="Century Gothic"/>
          <w:color w:val="535353"/>
          <w:shd w:val="clear" w:color="auto" w:fill="FFFFFF"/>
        </w:rPr>
        <w:t xml:space="preserve"> told BNN Bloomberg in an interview. “I’m certainly pleased to see the current government be so intentional and moving fairly quickly.”</w:t>
      </w:r>
    </w:p>
    <w:p w14:paraId="48034E32" w14:textId="77777777" w:rsidR="00361396" w:rsidRPr="00361396" w:rsidRDefault="00361396" w:rsidP="00361396">
      <w:pPr>
        <w:pStyle w:val="Default"/>
        <w:jc w:val="both"/>
        <w:rPr>
          <w:rFonts w:ascii="Century Gothic" w:hAnsi="Century Gothic"/>
          <w:color w:val="535353"/>
          <w:shd w:val="clear" w:color="auto" w:fill="FFFFFF"/>
        </w:rPr>
      </w:pPr>
    </w:p>
    <w:p w14:paraId="41DBBA97" w14:textId="77777777" w:rsidR="00361396" w:rsidRPr="00361396" w:rsidRDefault="00361396" w:rsidP="00361396">
      <w:pPr>
        <w:pStyle w:val="Default"/>
        <w:jc w:val="both"/>
        <w:rPr>
          <w:rFonts w:ascii="Century Gothic" w:hAnsi="Century Gothic"/>
          <w:color w:val="535353"/>
          <w:shd w:val="clear" w:color="auto" w:fill="FFFFFF"/>
        </w:rPr>
      </w:pPr>
      <w:r w:rsidRPr="00361396">
        <w:rPr>
          <w:rFonts w:ascii="Century Gothic" w:hAnsi="Century Gothic"/>
          <w:color w:val="535353"/>
          <w:shd w:val="clear" w:color="auto" w:fill="FFFFFF"/>
        </w:rPr>
        <w:t xml:space="preserve">The government signed a five-year memorandum of understanding with Montreal Que.-based </w:t>
      </w:r>
      <w:proofErr w:type="spellStart"/>
      <w:r w:rsidRPr="00361396">
        <w:rPr>
          <w:rFonts w:ascii="Century Gothic" w:hAnsi="Century Gothic"/>
          <w:color w:val="535353"/>
          <w:shd w:val="clear" w:color="auto" w:fill="FFFFFF"/>
        </w:rPr>
        <w:t>Coveo</w:t>
      </w:r>
      <w:proofErr w:type="spellEnd"/>
      <w:r w:rsidRPr="00361396">
        <w:rPr>
          <w:rFonts w:ascii="Century Gothic" w:hAnsi="Century Gothic"/>
          <w:color w:val="535353"/>
          <w:shd w:val="clear" w:color="auto" w:fill="FFFFFF"/>
        </w:rPr>
        <w:t xml:space="preserve"> Solutions Inc. on Dec. 17 to assist with its work. The government said the partnership prioritizes Canadian-made software to ensure that federal data and innovation stay under domestic control while improving how services reach the public.</w:t>
      </w:r>
    </w:p>
    <w:p w14:paraId="2592184F" w14:textId="77777777" w:rsidR="00361396" w:rsidRPr="00361396" w:rsidRDefault="00361396" w:rsidP="00361396">
      <w:pPr>
        <w:pStyle w:val="Default"/>
        <w:jc w:val="both"/>
        <w:rPr>
          <w:rFonts w:ascii="Century Gothic" w:hAnsi="Century Gothic"/>
          <w:color w:val="535353"/>
          <w:shd w:val="clear" w:color="auto" w:fill="FFFFFF"/>
        </w:rPr>
      </w:pPr>
    </w:p>
    <w:p w14:paraId="70BB664A" w14:textId="77777777" w:rsidR="00361396" w:rsidRPr="00361396" w:rsidRDefault="00361396" w:rsidP="00361396">
      <w:pPr>
        <w:pStyle w:val="Default"/>
        <w:jc w:val="both"/>
        <w:rPr>
          <w:rFonts w:ascii="Century Gothic" w:hAnsi="Century Gothic"/>
          <w:color w:val="535353"/>
          <w:shd w:val="clear" w:color="auto" w:fill="FFFFFF"/>
        </w:rPr>
      </w:pPr>
      <w:r w:rsidRPr="00361396">
        <w:rPr>
          <w:rFonts w:ascii="Century Gothic" w:hAnsi="Century Gothic"/>
          <w:color w:val="535353"/>
          <w:shd w:val="clear" w:color="auto" w:fill="FFFFFF"/>
        </w:rPr>
        <w:t>The Shared Services Canada and Innovation, Science and Economic Development Canada are spearheading the charge by exploring advanced search and agentic AI systems that can plan and complete complex tasks on their own.</w:t>
      </w:r>
    </w:p>
    <w:p w14:paraId="60500BAF" w14:textId="77777777" w:rsidR="00361396" w:rsidRPr="00361396" w:rsidRDefault="00361396" w:rsidP="00361396">
      <w:pPr>
        <w:pStyle w:val="Default"/>
        <w:jc w:val="both"/>
        <w:rPr>
          <w:rFonts w:ascii="Century Gothic" w:hAnsi="Century Gothic"/>
          <w:color w:val="535353"/>
          <w:shd w:val="clear" w:color="auto" w:fill="FFFFFF"/>
        </w:rPr>
      </w:pPr>
    </w:p>
    <w:p w14:paraId="79DD1A81" w14:textId="77777777" w:rsidR="00361396" w:rsidRPr="00361396" w:rsidRDefault="00361396" w:rsidP="00361396">
      <w:pPr>
        <w:pStyle w:val="Default"/>
        <w:jc w:val="both"/>
        <w:rPr>
          <w:rFonts w:ascii="Century Gothic" w:hAnsi="Century Gothic"/>
          <w:color w:val="535353"/>
          <w:shd w:val="clear" w:color="auto" w:fill="FFFFFF"/>
        </w:rPr>
      </w:pPr>
      <w:r w:rsidRPr="00361396">
        <w:rPr>
          <w:rFonts w:ascii="Century Gothic" w:hAnsi="Century Gothic"/>
          <w:color w:val="535353"/>
          <w:shd w:val="clear" w:color="auto" w:fill="FFFFFF"/>
        </w:rPr>
        <w:t>The strategic focus for the feds is to use technology to reduce administrative burdens to maximize staff capacity, time and taxpayer value. Tetu said there is a significant opportunity for the government to use AI technology.</w:t>
      </w:r>
    </w:p>
    <w:p w14:paraId="324EB037" w14:textId="77777777" w:rsidR="00361396" w:rsidRPr="00361396" w:rsidRDefault="00361396" w:rsidP="00361396">
      <w:pPr>
        <w:pStyle w:val="Default"/>
        <w:jc w:val="both"/>
        <w:rPr>
          <w:rFonts w:ascii="Century Gothic" w:hAnsi="Century Gothic"/>
          <w:color w:val="535353"/>
          <w:shd w:val="clear" w:color="auto" w:fill="FFFFFF"/>
        </w:rPr>
      </w:pPr>
    </w:p>
    <w:p w14:paraId="0FCAF072" w14:textId="77777777" w:rsidR="00361396" w:rsidRPr="00361396" w:rsidRDefault="00361396" w:rsidP="00361396">
      <w:pPr>
        <w:pStyle w:val="Default"/>
        <w:jc w:val="both"/>
        <w:rPr>
          <w:rFonts w:ascii="Century Gothic" w:hAnsi="Century Gothic"/>
          <w:color w:val="535353"/>
          <w:shd w:val="clear" w:color="auto" w:fill="FFFFFF"/>
        </w:rPr>
      </w:pPr>
      <w:r w:rsidRPr="00361396">
        <w:rPr>
          <w:rFonts w:ascii="Century Gothic" w:hAnsi="Century Gothic"/>
          <w:color w:val="535353"/>
          <w:shd w:val="clear" w:color="auto" w:fill="FFFFFF"/>
        </w:rPr>
        <w:lastRenderedPageBreak/>
        <w:t xml:space="preserve">“It can help government workers obtain better information to serve Canadians,” said </w:t>
      </w:r>
      <w:proofErr w:type="spellStart"/>
      <w:r w:rsidRPr="00361396">
        <w:rPr>
          <w:rFonts w:ascii="Century Gothic" w:hAnsi="Century Gothic"/>
          <w:color w:val="535353"/>
          <w:shd w:val="clear" w:color="auto" w:fill="FFFFFF"/>
        </w:rPr>
        <w:t>Têtu</w:t>
      </w:r>
      <w:proofErr w:type="spellEnd"/>
      <w:r w:rsidRPr="00361396">
        <w:rPr>
          <w:rFonts w:ascii="Century Gothic" w:hAnsi="Century Gothic"/>
          <w:color w:val="535353"/>
          <w:shd w:val="clear" w:color="auto" w:fill="FFFFFF"/>
        </w:rPr>
        <w:t>. “That is a key low-hanging fruit that potentially is a billion dollar plus cost savings opportunity for the government and frankly give back time to Canadians.”</w:t>
      </w:r>
    </w:p>
    <w:p w14:paraId="7776FD4F" w14:textId="77777777" w:rsidR="00361396" w:rsidRPr="00361396" w:rsidRDefault="00361396" w:rsidP="00361396">
      <w:pPr>
        <w:pStyle w:val="Default"/>
        <w:jc w:val="both"/>
        <w:rPr>
          <w:rFonts w:ascii="Century Gothic" w:hAnsi="Century Gothic"/>
          <w:color w:val="535353"/>
          <w:shd w:val="clear" w:color="auto" w:fill="FFFFFF"/>
        </w:rPr>
      </w:pPr>
    </w:p>
    <w:p w14:paraId="2AE0ACDF" w14:textId="77777777" w:rsidR="00361396" w:rsidRPr="00361396" w:rsidRDefault="00361396" w:rsidP="00361396">
      <w:pPr>
        <w:pStyle w:val="Default"/>
        <w:jc w:val="both"/>
        <w:rPr>
          <w:rFonts w:ascii="Century Gothic" w:hAnsi="Century Gothic"/>
          <w:color w:val="535353"/>
          <w:shd w:val="clear" w:color="auto" w:fill="FFFFFF"/>
        </w:rPr>
      </w:pPr>
      <w:r w:rsidRPr="00361396">
        <w:rPr>
          <w:rFonts w:ascii="Century Gothic" w:hAnsi="Century Gothic"/>
          <w:color w:val="535353"/>
          <w:shd w:val="clear" w:color="auto" w:fill="FFFFFF"/>
        </w:rPr>
        <w:t>By identifying practical uses for generative and agentic AI, Ottawa intends to make the federal workforce more responsive.</w:t>
      </w:r>
    </w:p>
    <w:p w14:paraId="0854B384" w14:textId="77777777" w:rsidR="00361396" w:rsidRPr="00361396" w:rsidRDefault="00361396" w:rsidP="00361396">
      <w:pPr>
        <w:pStyle w:val="Default"/>
        <w:jc w:val="both"/>
        <w:rPr>
          <w:rFonts w:ascii="Century Gothic" w:hAnsi="Century Gothic"/>
          <w:color w:val="535353"/>
          <w:shd w:val="clear" w:color="auto" w:fill="FFFFFF"/>
        </w:rPr>
      </w:pPr>
    </w:p>
    <w:p w14:paraId="347793E3" w14:textId="77777777" w:rsidR="00361396" w:rsidRPr="00361396" w:rsidRDefault="00361396" w:rsidP="00361396">
      <w:pPr>
        <w:pStyle w:val="Default"/>
        <w:jc w:val="both"/>
        <w:rPr>
          <w:rFonts w:ascii="Century Gothic" w:hAnsi="Century Gothic"/>
          <w:color w:val="535353"/>
          <w:shd w:val="clear" w:color="auto" w:fill="FFFFFF"/>
        </w:rPr>
      </w:pPr>
      <w:r w:rsidRPr="00361396">
        <w:rPr>
          <w:rFonts w:ascii="Century Gothic" w:hAnsi="Century Gothic"/>
          <w:color w:val="535353"/>
          <w:shd w:val="clear" w:color="auto" w:fill="FFFFFF"/>
        </w:rPr>
        <w:t>“By working with a leading Canadian company through this memorandum of understanding, we are exploring how homegrown AI solutions can help modernize government operations, strengthen digital sovereignty, and improve how services are delivered to people and businesses across the country,” Minister of Artificial Intelligence and Digital Innovation Evan Solomon said.</w:t>
      </w:r>
    </w:p>
    <w:p w14:paraId="6A71497F" w14:textId="77777777" w:rsidR="00361396" w:rsidRPr="00361396" w:rsidRDefault="00361396" w:rsidP="00361396">
      <w:pPr>
        <w:pStyle w:val="Default"/>
        <w:jc w:val="both"/>
        <w:rPr>
          <w:rFonts w:ascii="Century Gothic" w:hAnsi="Century Gothic"/>
          <w:color w:val="535353"/>
          <w:shd w:val="clear" w:color="auto" w:fill="FFFFFF"/>
        </w:rPr>
      </w:pPr>
    </w:p>
    <w:p w14:paraId="0129AA02" w14:textId="171D8BC5" w:rsidR="0061228C" w:rsidRPr="0061228C" w:rsidRDefault="00361396" w:rsidP="00361396">
      <w:pPr>
        <w:pStyle w:val="Default"/>
        <w:jc w:val="both"/>
        <w:rPr>
          <w:rFonts w:ascii="Century Gothic" w:hAnsi="Century Gothic"/>
          <w:color w:val="535353"/>
          <w:shd w:val="clear" w:color="auto" w:fill="FFFFFF"/>
        </w:rPr>
      </w:pPr>
      <w:r w:rsidRPr="00361396">
        <w:rPr>
          <w:rFonts w:ascii="Century Gothic" w:hAnsi="Century Gothic"/>
          <w:color w:val="535353"/>
          <w:shd w:val="clear" w:color="auto" w:fill="FFFFFF"/>
        </w:rPr>
        <w:t>The commitment to domestic technology fits into the broader AI Strategy for the Federal Public Service 2025 to 2027, enforcing Canada’s goal of leading in responsible AI use while ensuring that automation leads to better experiences for all Canadians.</w:t>
      </w:r>
    </w:p>
    <w:p w14:paraId="688A1AA5" w14:textId="77777777" w:rsidR="00B6194E" w:rsidRDefault="00B6194E" w:rsidP="00E92CA7">
      <w:pPr>
        <w:pStyle w:val="Default"/>
        <w:rPr>
          <w:rFonts w:ascii="Century Gothic" w:eastAsia="Century Gothic" w:hAnsi="Century Gothic" w:cs="Century Gothic"/>
          <w:b/>
          <w:bCs/>
          <w:color w:val="535353"/>
          <w:sz w:val="28"/>
          <w:szCs w:val="28"/>
          <w:shd w:val="clear" w:color="auto" w:fill="FFFFFF"/>
        </w:rPr>
      </w:pPr>
    </w:p>
    <w:p w14:paraId="5B87EF7D" w14:textId="400BE23B" w:rsidR="0061228C" w:rsidRDefault="00361396" w:rsidP="00E92CA7">
      <w:pPr>
        <w:pStyle w:val="Default"/>
        <w:rPr>
          <w:rFonts w:ascii="Century Gothic" w:eastAsia="Century Gothic" w:hAnsi="Century Gothic" w:cs="Century Gothic"/>
          <w:b/>
          <w:bCs/>
          <w:color w:val="535353"/>
          <w:sz w:val="28"/>
          <w:szCs w:val="28"/>
          <w:shd w:val="clear" w:color="auto" w:fill="FFFFFF"/>
        </w:rPr>
      </w:pPr>
      <w:r w:rsidRPr="00361396">
        <w:rPr>
          <w:rFonts w:ascii="Century Gothic" w:eastAsia="Century Gothic" w:hAnsi="Century Gothic" w:cs="Century Gothic"/>
          <w:b/>
          <w:bCs/>
          <w:color w:val="535353"/>
          <w:sz w:val="28"/>
          <w:szCs w:val="28"/>
          <w:shd w:val="clear" w:color="auto" w:fill="FFFFFF"/>
        </w:rPr>
        <w:t>Canadian Dollar Poised for Gradual Recovery in 2026 Despite Lingering Trade and Policy Risks</w:t>
      </w:r>
    </w:p>
    <w:p w14:paraId="585023E2" w14:textId="77777777" w:rsidR="00361396" w:rsidRPr="00772E92" w:rsidRDefault="00361396" w:rsidP="00E92CA7">
      <w:pPr>
        <w:pStyle w:val="Default"/>
        <w:rPr>
          <w:rFonts w:ascii="Century Gothic" w:eastAsia="Century Gothic" w:hAnsi="Century Gothic" w:cs="Century Gothic"/>
          <w:b/>
          <w:bCs/>
          <w:color w:val="535353"/>
          <w:sz w:val="12"/>
          <w:szCs w:val="12"/>
          <w:shd w:val="clear" w:color="auto" w:fill="FFFFFF"/>
        </w:rPr>
      </w:pPr>
    </w:p>
    <w:p w14:paraId="5B4726F0" w14:textId="77777777" w:rsidR="00361396" w:rsidRPr="00361396" w:rsidRDefault="00361396" w:rsidP="00506515">
      <w:pPr>
        <w:pStyle w:val="Default"/>
        <w:jc w:val="both"/>
        <w:rPr>
          <w:rFonts w:ascii="Century Gothic" w:hAnsi="Century Gothic"/>
          <w:color w:val="535353"/>
          <w:shd w:val="clear" w:color="auto" w:fill="FFFFFF"/>
        </w:rPr>
      </w:pPr>
      <w:r w:rsidRPr="00361396">
        <w:rPr>
          <w:rFonts w:ascii="Century Gothic" w:hAnsi="Century Gothic"/>
          <w:color w:val="535353"/>
          <w:shd w:val="clear" w:color="auto" w:fill="FFFFFF"/>
        </w:rPr>
        <w:t>According to Scotiabank's projections, the Canadian dollar is expected to stabilize and begin recovering in 2026. The bank forecasts the CAD starting the year at 72.5 U.S. cents and gaining approximately one cent per quarter, potentially reaching 75 cents by the end of the year. This anticipated uptrend is tied to the expectation that the Fed will continue its easing cycle, cutting rates by a total of 100 basis points to reach 3% amid mixed signals from the U.S. economy including strong equity markets, a sluggish housing sector, and uneven consumer spending.</w:t>
      </w:r>
    </w:p>
    <w:p w14:paraId="23BE4C2A" w14:textId="59C9FF44" w:rsidR="00361396" w:rsidRPr="00361396" w:rsidRDefault="00361396" w:rsidP="00506515">
      <w:pPr>
        <w:pStyle w:val="Default"/>
        <w:jc w:val="both"/>
        <w:rPr>
          <w:rFonts w:ascii="Century Gothic" w:hAnsi="Century Gothic"/>
          <w:color w:val="535353"/>
          <w:shd w:val="clear" w:color="auto" w:fill="FFFFFF"/>
        </w:rPr>
      </w:pPr>
    </w:p>
    <w:p w14:paraId="567CA30D" w14:textId="77777777" w:rsidR="00361396" w:rsidRPr="00361396" w:rsidRDefault="00361396" w:rsidP="00506515">
      <w:pPr>
        <w:pStyle w:val="Default"/>
        <w:jc w:val="both"/>
        <w:rPr>
          <w:rFonts w:ascii="Century Gothic" w:hAnsi="Century Gothic"/>
          <w:color w:val="535353"/>
          <w:shd w:val="clear" w:color="auto" w:fill="FFFFFF"/>
        </w:rPr>
      </w:pPr>
      <w:r w:rsidRPr="00361396">
        <w:rPr>
          <w:rFonts w:ascii="Century Gothic" w:hAnsi="Century Gothic"/>
          <w:color w:val="535353"/>
          <w:shd w:val="clear" w:color="auto" w:fill="FFFFFF"/>
        </w:rPr>
        <w:t>This anticipated narrowing of interest rate differentials suggests a likely reversal in capital flows, benefiting the Canadian dollar. Additionally, Scotiabank believes BoC’s October rate cut may have marked the end of its easing cycle, implying a more restrictive stance going forward. This divergence in policy trajectories reinforces a causal expectation of CAD appreciation through 2026.</w:t>
      </w:r>
    </w:p>
    <w:p w14:paraId="0688019E" w14:textId="77777777" w:rsidR="00361396" w:rsidRPr="00361396" w:rsidRDefault="00361396" w:rsidP="00506515">
      <w:pPr>
        <w:pStyle w:val="Default"/>
        <w:jc w:val="both"/>
        <w:rPr>
          <w:rFonts w:ascii="Century Gothic" w:hAnsi="Century Gothic"/>
          <w:color w:val="535353"/>
          <w:shd w:val="clear" w:color="auto" w:fill="FFFFFF"/>
        </w:rPr>
      </w:pPr>
    </w:p>
    <w:p w14:paraId="138DA825" w14:textId="440E6EAC" w:rsidR="00361396" w:rsidRPr="00361396" w:rsidRDefault="00361396" w:rsidP="00506515">
      <w:pPr>
        <w:pStyle w:val="Default"/>
        <w:jc w:val="both"/>
        <w:rPr>
          <w:rFonts w:ascii="Century Gothic" w:hAnsi="Century Gothic"/>
          <w:color w:val="535353"/>
          <w:shd w:val="clear" w:color="auto" w:fill="FFFFFF"/>
        </w:rPr>
      </w:pPr>
      <w:r w:rsidRPr="00361396">
        <w:rPr>
          <w:rFonts w:ascii="Century Gothic" w:hAnsi="Century Gothic"/>
          <w:color w:val="535353"/>
          <w:shd w:val="clear" w:color="auto" w:fill="FFFFFF"/>
        </w:rPr>
        <w:t>Canada's federal fiscal stimulus though expected to take effect with some delay is also seen as supportive of domestic economic growth. Scotiabank suggests that while the capital expenditure wave from the federal budget will take time to materialize, it will eventually enhance productivity and employment, indirectly strengthening the CAD.</w:t>
      </w:r>
    </w:p>
    <w:p w14:paraId="6BB4DD4A" w14:textId="5AB9B35A" w:rsidR="00361396" w:rsidRPr="00361396" w:rsidRDefault="00361396" w:rsidP="00506515">
      <w:pPr>
        <w:pStyle w:val="Default"/>
        <w:jc w:val="both"/>
        <w:rPr>
          <w:rFonts w:ascii="Century Gothic" w:hAnsi="Century Gothic"/>
          <w:color w:val="535353"/>
          <w:shd w:val="clear" w:color="auto" w:fill="FFFFFF"/>
        </w:rPr>
      </w:pPr>
    </w:p>
    <w:p w14:paraId="149A584C" w14:textId="77777777" w:rsidR="00361396" w:rsidRPr="00361396" w:rsidRDefault="00361396" w:rsidP="00506515">
      <w:pPr>
        <w:pStyle w:val="Default"/>
        <w:jc w:val="both"/>
        <w:rPr>
          <w:rFonts w:ascii="Century Gothic" w:hAnsi="Century Gothic"/>
          <w:color w:val="535353"/>
          <w:shd w:val="clear" w:color="auto" w:fill="FFFFFF"/>
        </w:rPr>
      </w:pPr>
      <w:r w:rsidRPr="00361396">
        <w:rPr>
          <w:rFonts w:ascii="Century Gothic" w:hAnsi="Century Gothic"/>
          <w:color w:val="535353"/>
          <w:shd w:val="clear" w:color="auto" w:fill="FFFFFF"/>
        </w:rPr>
        <w:t>The link here is sequential rather than immediate: fiscal spending takes six to twelve months to filter through the economy, meaning the CAD’s response may only become noticeable in late 2026 or early 2027. Nonetheless, improved fundamentals should boost investor confidence in Canada’s growth trajectory.</w:t>
      </w:r>
    </w:p>
    <w:p w14:paraId="29AA20D6" w14:textId="3FA19479" w:rsidR="00361396" w:rsidRPr="00361396" w:rsidRDefault="00361396" w:rsidP="00506515">
      <w:pPr>
        <w:pStyle w:val="Default"/>
        <w:jc w:val="both"/>
        <w:rPr>
          <w:rFonts w:ascii="Century Gothic" w:hAnsi="Century Gothic"/>
          <w:color w:val="535353"/>
          <w:shd w:val="clear" w:color="auto" w:fill="FFFFFF"/>
        </w:rPr>
      </w:pPr>
    </w:p>
    <w:p w14:paraId="7EBA7ADE" w14:textId="77777777" w:rsidR="00361396" w:rsidRPr="00361396" w:rsidRDefault="00361396" w:rsidP="00506515">
      <w:pPr>
        <w:pStyle w:val="Default"/>
        <w:jc w:val="both"/>
        <w:rPr>
          <w:rFonts w:ascii="Century Gothic" w:hAnsi="Century Gothic"/>
          <w:color w:val="535353"/>
          <w:shd w:val="clear" w:color="auto" w:fill="FFFFFF"/>
        </w:rPr>
      </w:pPr>
      <w:r w:rsidRPr="00361396">
        <w:rPr>
          <w:rFonts w:ascii="Century Gothic" w:hAnsi="Century Gothic"/>
          <w:color w:val="535353"/>
          <w:shd w:val="clear" w:color="auto" w:fill="FFFFFF"/>
        </w:rPr>
        <w:t xml:space="preserve">However, several risk factors could impede the CAD’s recovery. Foremost among them is uncertainty surrounding U.S. trade policy. Key Canadian export sectors such as steel, aluminum, autos, and lumber remain vulnerable to tariff regimes and protectionist rhetoric. Although there are discussions about </w:t>
      </w:r>
      <w:r w:rsidRPr="00361396">
        <w:rPr>
          <w:rFonts w:ascii="Century Gothic" w:hAnsi="Century Gothic"/>
          <w:color w:val="535353"/>
          <w:shd w:val="clear" w:color="auto" w:fill="FFFFFF"/>
        </w:rPr>
        <w:lastRenderedPageBreak/>
        <w:t>potential tariff reductions for aluminum, the broader risk of renewed trade frictions poses a persistent threat to Canada’s external balance.</w:t>
      </w:r>
    </w:p>
    <w:p w14:paraId="3536602A" w14:textId="3D08ED2D" w:rsidR="00361396" w:rsidRPr="00361396" w:rsidRDefault="00361396" w:rsidP="00506515">
      <w:pPr>
        <w:pStyle w:val="Default"/>
        <w:jc w:val="both"/>
        <w:rPr>
          <w:rFonts w:ascii="Century Gothic" w:hAnsi="Century Gothic"/>
          <w:color w:val="535353"/>
          <w:shd w:val="clear" w:color="auto" w:fill="FFFFFF"/>
        </w:rPr>
      </w:pPr>
    </w:p>
    <w:p w14:paraId="021404F3" w14:textId="77777777" w:rsidR="00361396" w:rsidRPr="00361396" w:rsidRDefault="00361396" w:rsidP="00506515">
      <w:pPr>
        <w:pStyle w:val="Default"/>
        <w:jc w:val="both"/>
        <w:rPr>
          <w:rFonts w:ascii="Century Gothic" w:hAnsi="Century Gothic"/>
          <w:color w:val="535353"/>
          <w:shd w:val="clear" w:color="auto" w:fill="FFFFFF"/>
        </w:rPr>
      </w:pPr>
      <w:r w:rsidRPr="00361396">
        <w:rPr>
          <w:rFonts w:ascii="Century Gothic" w:hAnsi="Century Gothic"/>
          <w:color w:val="535353"/>
          <w:shd w:val="clear" w:color="auto" w:fill="FFFFFF"/>
        </w:rPr>
        <w:t>This relationship is causal and direct: protectionist trade measures reduce export volumes, weaken trade surpluses, and lower demand for Canadian currency. Such developments could easily offset gains made through monetary normalization or fiscal support.</w:t>
      </w:r>
    </w:p>
    <w:p w14:paraId="5D8F53AF" w14:textId="344385A1" w:rsidR="00361396" w:rsidRPr="00361396" w:rsidRDefault="00361396" w:rsidP="00506515">
      <w:pPr>
        <w:pStyle w:val="Default"/>
        <w:jc w:val="both"/>
        <w:rPr>
          <w:rFonts w:ascii="Century Gothic" w:hAnsi="Century Gothic"/>
          <w:color w:val="535353"/>
          <w:shd w:val="clear" w:color="auto" w:fill="FFFFFF"/>
        </w:rPr>
      </w:pPr>
    </w:p>
    <w:p w14:paraId="28150C00" w14:textId="5E8A50AA" w:rsidR="00D87660" w:rsidRPr="001E52C2" w:rsidRDefault="00361396" w:rsidP="00506515">
      <w:pPr>
        <w:pStyle w:val="Default"/>
        <w:jc w:val="both"/>
        <w:rPr>
          <w:rFonts w:ascii="Century Gothic" w:eastAsia="Century Gothic" w:hAnsi="Century Gothic" w:cs="Century Gothic"/>
          <w:color w:val="535353"/>
          <w:shd w:val="clear" w:color="auto" w:fill="FFFFFF"/>
        </w:rPr>
      </w:pPr>
      <w:r w:rsidRPr="00361396">
        <w:rPr>
          <w:rFonts w:ascii="Century Gothic" w:hAnsi="Century Gothic"/>
          <w:color w:val="535353"/>
          <w:shd w:val="clear" w:color="auto" w:fill="FFFFFF"/>
        </w:rPr>
        <w:t>The Canadian dollar’s prospects in 2026 are cautiously optimistic. While narrowing rate differentials and upcoming fiscal outlays point to a gradual strengthening trend, material risks remain. The currency’s path will be shaped not only by domestic monetary and fiscal policy but also by global investor sentiment and bilateral trade tensions especially with the United States. For CAD to reach the 75–77 U.S. cents range forecast for 2026–2027, macroeconomic coordination and stable trade relations will be just as critical as interest rate dynamics.</w:t>
      </w:r>
    </w:p>
    <w:p w14:paraId="4A7A311E" w14:textId="77777777" w:rsidR="00D87660" w:rsidRDefault="00D87660">
      <w:pPr>
        <w:pStyle w:val="Default"/>
        <w:rPr>
          <w:sz w:val="29"/>
          <w:szCs w:val="29"/>
          <w:u w:color="808080"/>
        </w:rPr>
      </w:pPr>
    </w:p>
    <w:p w14:paraId="2E1F62BC" w14:textId="77777777" w:rsidR="00772E92" w:rsidRDefault="00772E92">
      <w:pPr>
        <w:pStyle w:val="Default"/>
        <w:rPr>
          <w:sz w:val="29"/>
          <w:szCs w:val="29"/>
          <w:u w:color="808080"/>
        </w:rPr>
      </w:pPr>
    </w:p>
    <w:p w14:paraId="4CBB32ED" w14:textId="23C22EB6" w:rsidR="00D87660" w:rsidRDefault="00361396" w:rsidP="00B30316">
      <w:pPr>
        <w:pStyle w:val="Body"/>
        <w:rPr>
          <w:rFonts w:ascii="Century Gothic" w:eastAsia="Century Gothic" w:hAnsi="Century Gothic" w:cs="Century Gothic"/>
          <w:color w:val="808080"/>
          <w:spacing w:val="80"/>
          <w:sz w:val="22"/>
          <w:szCs w:val="22"/>
          <w:u w:color="808080"/>
          <w:lang w:val="en-US"/>
        </w:rPr>
      </w:pPr>
      <w:r w:rsidRPr="00361396">
        <w:rPr>
          <w:rFonts w:ascii="Century Gothic" w:hAnsi="Century Gothic"/>
          <w:b/>
          <w:bCs/>
          <w:color w:val="808080"/>
          <w:spacing w:val="80"/>
          <w:sz w:val="48"/>
          <w:szCs w:val="48"/>
          <w:u w:color="808080"/>
          <w:lang w:val="en-US"/>
        </w:rPr>
        <w:t>Analysis</w:t>
      </w:r>
      <w:r w:rsidR="00CB78C7">
        <w:rPr>
          <w:rFonts w:ascii="Century Gothic" w:hAnsi="Century Gothic"/>
          <w:b/>
          <w:bCs/>
          <w:color w:val="808080"/>
          <w:spacing w:val="80"/>
          <w:sz w:val="48"/>
          <w:szCs w:val="48"/>
          <w:u w:color="808080"/>
          <w:lang w:val="en-US"/>
        </w:rPr>
        <w:t xml:space="preserve"> </w:t>
      </w:r>
      <w:r w:rsidR="00CB78C7">
        <w:rPr>
          <w:rFonts w:ascii="Century Gothic" w:eastAsia="Century Gothic" w:hAnsi="Century Gothic" w:cs="Century Gothic"/>
          <w:b/>
          <w:bCs/>
          <w:noProof/>
          <w:sz w:val="22"/>
          <w:szCs w:val="22"/>
        </w:rPr>
        <w:drawing>
          <wp:inline distT="0" distB="0" distL="0" distR="0" wp14:anchorId="6A9902F5" wp14:editId="0B135244">
            <wp:extent cx="6794500" cy="65406"/>
            <wp:effectExtent l="0" t="0" r="0" b="0"/>
            <wp:docPr id="1073741832" name="officeArt object" descr="image1.png"/>
            <wp:cNvGraphicFramePr/>
            <a:graphic xmlns:a="http://schemas.openxmlformats.org/drawingml/2006/main">
              <a:graphicData uri="http://schemas.openxmlformats.org/drawingml/2006/picture">
                <pic:pic xmlns:pic="http://schemas.openxmlformats.org/drawingml/2006/picture">
                  <pic:nvPicPr>
                    <pic:cNvPr id="1073741832" name="image1.png" descr="image1.png"/>
                    <pic:cNvPicPr>
                      <a:picLocks noChangeAspect="1"/>
                    </pic:cNvPicPr>
                  </pic:nvPicPr>
                  <pic:blipFill>
                    <a:blip r:embed="rId8"/>
                    <a:stretch>
                      <a:fillRect/>
                    </a:stretch>
                  </pic:blipFill>
                  <pic:spPr>
                    <a:xfrm>
                      <a:off x="0" y="0"/>
                      <a:ext cx="6794500" cy="65406"/>
                    </a:xfrm>
                    <a:prstGeom prst="rect">
                      <a:avLst/>
                    </a:prstGeom>
                    <a:ln w="12700" cap="flat">
                      <a:noFill/>
                      <a:miter lim="400000"/>
                    </a:ln>
                    <a:effectLst/>
                  </pic:spPr>
                </pic:pic>
              </a:graphicData>
            </a:graphic>
          </wp:inline>
        </w:drawing>
      </w:r>
      <w:r w:rsidR="00CB78C7">
        <w:rPr>
          <w:rFonts w:ascii="Century Gothic" w:hAnsi="Century Gothic"/>
          <w:color w:val="808080"/>
          <w:sz w:val="28"/>
          <w:szCs w:val="28"/>
          <w:u w:color="808080"/>
          <w:lang w:val="en-US"/>
        </w:rPr>
        <w:t>“</w:t>
      </w:r>
      <w:r w:rsidR="00A7094D">
        <w:rPr>
          <w:rFonts w:ascii="Century Gothic" w:hAnsi="Century Gothic"/>
          <w:color w:val="808080"/>
          <w:sz w:val="28"/>
          <w:szCs w:val="28"/>
          <w:u w:color="808080"/>
          <w:lang w:val="en-US"/>
        </w:rPr>
        <w:t xml:space="preserve">Healthy citizens are the greatest asset any country can </w:t>
      </w:r>
      <w:r w:rsidR="00ED1C24">
        <w:rPr>
          <w:rFonts w:ascii="Century Gothic" w:hAnsi="Century Gothic"/>
          <w:color w:val="808080"/>
          <w:sz w:val="28"/>
          <w:szCs w:val="28"/>
          <w:u w:color="808080"/>
          <w:lang w:val="en-US"/>
        </w:rPr>
        <w:t>have.”</w:t>
      </w:r>
      <w:r w:rsidR="00CB78C7">
        <w:rPr>
          <w:rFonts w:ascii="Century Gothic" w:hAnsi="Century Gothic"/>
          <w:color w:val="808080"/>
          <w:sz w:val="28"/>
          <w:szCs w:val="28"/>
          <w:u w:color="808080"/>
          <w:lang w:val="en-US"/>
        </w:rPr>
        <w:t xml:space="preserve"> </w:t>
      </w:r>
      <w:r w:rsidR="00A7094D">
        <w:rPr>
          <w:rFonts w:ascii="Century Gothic" w:hAnsi="Century Gothic"/>
          <w:color w:val="808080"/>
          <w:sz w:val="28"/>
          <w:szCs w:val="28"/>
          <w:u w:color="808080"/>
          <w:lang w:val="en-US"/>
        </w:rPr>
        <w:t>–</w:t>
      </w:r>
      <w:r w:rsidR="00CB78C7">
        <w:rPr>
          <w:rFonts w:ascii="Century Gothic" w:hAnsi="Century Gothic"/>
          <w:color w:val="808080"/>
          <w:sz w:val="28"/>
          <w:szCs w:val="28"/>
          <w:u w:color="808080"/>
          <w:lang w:val="en-US"/>
        </w:rPr>
        <w:t xml:space="preserve"> </w:t>
      </w:r>
      <w:r w:rsidR="00A7094D">
        <w:rPr>
          <w:rFonts w:ascii="Century Gothic" w:hAnsi="Century Gothic"/>
          <w:i/>
          <w:iCs/>
          <w:color w:val="808080"/>
          <w:spacing w:val="80"/>
          <w:sz w:val="22"/>
          <w:szCs w:val="22"/>
          <w:u w:color="808080"/>
          <w:lang w:val="en-US"/>
        </w:rPr>
        <w:t>Winston Churchill</w:t>
      </w:r>
      <w:r w:rsidR="001C1764">
        <w:rPr>
          <w:rFonts w:ascii="Century Gothic" w:hAnsi="Century Gothic"/>
          <w:i/>
          <w:iCs/>
          <w:color w:val="808080"/>
          <w:spacing w:val="80"/>
          <w:sz w:val="22"/>
          <w:szCs w:val="22"/>
          <w:u w:color="808080"/>
          <w:lang w:val="en-US"/>
        </w:rPr>
        <w:t xml:space="preserve"> </w:t>
      </w:r>
    </w:p>
    <w:p w14:paraId="449D7E92" w14:textId="77777777" w:rsidR="00D87660" w:rsidRDefault="00D87660">
      <w:pPr>
        <w:pStyle w:val="Body"/>
        <w:rPr>
          <w:rFonts w:ascii="Century Gothic" w:eastAsia="Century Gothic" w:hAnsi="Century Gothic" w:cs="Century Gothic"/>
          <w:color w:val="808080"/>
          <w:spacing w:val="80"/>
          <w:sz w:val="22"/>
          <w:szCs w:val="22"/>
          <w:u w:color="808080"/>
          <w:lang w:val="en-US"/>
        </w:rPr>
      </w:pPr>
    </w:p>
    <w:p w14:paraId="690D8406" w14:textId="790300C9" w:rsidR="00D87660" w:rsidRPr="00BC0545" w:rsidRDefault="00361396" w:rsidP="00CB78C7">
      <w:pPr>
        <w:pStyle w:val="Body"/>
        <w:spacing w:after="100"/>
        <w:jc w:val="both"/>
        <w:rPr>
          <w:rFonts w:ascii="Century Gothic" w:eastAsia="Century Gothic" w:hAnsi="Century Gothic" w:cs="Century Gothic"/>
          <w:color w:val="535353"/>
          <w:sz w:val="18"/>
          <w:szCs w:val="18"/>
          <w:u w:color="808080"/>
          <w:lang w:val="en-US"/>
        </w:rPr>
      </w:pPr>
      <w:r w:rsidRPr="00361396">
        <w:rPr>
          <w:rFonts w:ascii="Century Gothic" w:hAnsi="Century Gothic"/>
          <w:b/>
          <w:bCs/>
          <w:color w:val="535353"/>
          <w:sz w:val="28"/>
          <w:szCs w:val="28"/>
          <w:u w:color="808080"/>
          <w:lang w:val="en-US"/>
        </w:rPr>
        <w:t xml:space="preserve">Time to think differently about health care in </w:t>
      </w:r>
      <w:proofErr w:type="gramStart"/>
      <w:r w:rsidRPr="00361396">
        <w:rPr>
          <w:rFonts w:ascii="Century Gothic" w:hAnsi="Century Gothic"/>
          <w:b/>
          <w:bCs/>
          <w:color w:val="535353"/>
          <w:sz w:val="28"/>
          <w:szCs w:val="28"/>
          <w:u w:color="808080"/>
          <w:lang w:val="en-US"/>
        </w:rPr>
        <w:t>Canada</w:t>
      </w:r>
      <w:r w:rsidR="00ED1C24">
        <w:rPr>
          <w:rFonts w:ascii="Century Gothic" w:hAnsi="Century Gothic"/>
          <w:b/>
          <w:bCs/>
          <w:color w:val="535353"/>
          <w:sz w:val="28"/>
          <w:szCs w:val="28"/>
          <w:u w:color="808080"/>
          <w:lang w:val="en-US"/>
        </w:rPr>
        <w:t xml:space="preserve">  </w:t>
      </w:r>
      <w:r w:rsidR="00B6194E" w:rsidRPr="00BC0545">
        <w:rPr>
          <w:rFonts w:ascii="Century Gothic" w:hAnsi="Century Gothic"/>
          <w:b/>
          <w:bCs/>
          <w:color w:val="535353"/>
          <w:sz w:val="22"/>
          <w:u w:color="808080"/>
          <w:lang w:val="en-US"/>
        </w:rPr>
        <w:t>-</w:t>
      </w:r>
      <w:proofErr w:type="gramEnd"/>
      <w:r w:rsidR="00B6194E" w:rsidRPr="00B6194E">
        <w:rPr>
          <w:rFonts w:ascii="Century Gothic" w:hAnsi="Century Gothic"/>
          <w:color w:val="535353"/>
          <w:sz w:val="22"/>
          <w:u w:color="808080"/>
          <w:lang w:val="en-US"/>
        </w:rPr>
        <w:t xml:space="preserve"> </w:t>
      </w:r>
      <w:r w:rsidRPr="00A7094D">
        <w:rPr>
          <w:rFonts w:ascii="Century Gothic" w:hAnsi="Century Gothic"/>
          <w:color w:val="535353"/>
          <w:sz w:val="18"/>
          <w:szCs w:val="18"/>
          <w:u w:color="808080"/>
          <w:lang w:val="en-US"/>
        </w:rPr>
        <w:t xml:space="preserve"> </w:t>
      </w:r>
      <w:r w:rsidRPr="00A7094D">
        <w:rPr>
          <w:rFonts w:ascii="Century Gothic" w:hAnsi="Century Gothic"/>
          <w:color w:val="535353"/>
          <w:spacing w:val="77"/>
          <w:sz w:val="18"/>
          <w:szCs w:val="18"/>
          <w:u w:color="808080"/>
          <w:lang w:val="en-US"/>
        </w:rPr>
        <w:t>Mackenzie</w:t>
      </w:r>
      <w:r w:rsidR="00A7094D">
        <w:rPr>
          <w:rFonts w:ascii="Century Gothic" w:hAnsi="Century Gothic"/>
          <w:color w:val="535353"/>
          <w:spacing w:val="77"/>
          <w:sz w:val="18"/>
          <w:szCs w:val="18"/>
          <w:u w:color="808080"/>
          <w:lang w:val="en-US"/>
        </w:rPr>
        <w:t xml:space="preserve"> </w:t>
      </w:r>
      <w:r w:rsidRPr="00A7094D">
        <w:rPr>
          <w:rFonts w:ascii="Century Gothic" w:hAnsi="Century Gothic"/>
          <w:color w:val="535353"/>
          <w:spacing w:val="77"/>
          <w:sz w:val="18"/>
          <w:szCs w:val="18"/>
          <w:u w:color="808080"/>
          <w:lang w:val="en-US"/>
        </w:rPr>
        <w:t>Moir</w:t>
      </w:r>
      <w:r w:rsidR="003B0BD8" w:rsidRPr="00A7094D">
        <w:rPr>
          <w:rFonts w:ascii="Century Gothic" w:hAnsi="Century Gothic"/>
          <w:color w:val="535353"/>
          <w:spacing w:val="77"/>
          <w:sz w:val="16"/>
          <w:szCs w:val="16"/>
          <w:u w:color="808080"/>
          <w:lang w:val="en-US"/>
        </w:rPr>
        <w:t xml:space="preserve"> </w:t>
      </w:r>
    </w:p>
    <w:p w14:paraId="6E0139F0" w14:textId="20A23B7F" w:rsidR="00D87660" w:rsidRPr="003B0BD8" w:rsidRDefault="00AA13FB" w:rsidP="00CB78C7">
      <w:pPr>
        <w:pStyle w:val="Body"/>
        <w:spacing w:after="100"/>
        <w:jc w:val="both"/>
        <w:rPr>
          <w:rFonts w:ascii="Century Gothic" w:eastAsia="Century Gothic" w:hAnsi="Century Gothic" w:cs="Century Gothic"/>
          <w:i/>
          <w:iCs/>
          <w:color w:val="535353"/>
          <w:sz w:val="16"/>
          <w:szCs w:val="16"/>
          <w:u w:color="808080"/>
          <w:lang w:val="en-US"/>
        </w:rPr>
      </w:pPr>
      <w:r>
        <w:rPr>
          <w:rFonts w:ascii="Century Gothic" w:hAnsi="Century Gothic"/>
          <w:i/>
          <w:iCs/>
          <w:color w:val="535353"/>
          <w:sz w:val="16"/>
          <w:szCs w:val="16"/>
          <w:u w:color="808080"/>
          <w:lang w:val="en-US"/>
        </w:rPr>
        <w:t>3</w:t>
      </w:r>
      <w:r w:rsidR="003B0BD8" w:rsidRPr="003B0BD8">
        <w:rPr>
          <w:rFonts w:ascii="Century Gothic" w:hAnsi="Century Gothic"/>
          <w:i/>
          <w:iCs/>
          <w:color w:val="535353"/>
          <w:sz w:val="16"/>
          <w:szCs w:val="16"/>
          <w:u w:color="808080"/>
          <w:lang w:val="en-US"/>
        </w:rPr>
        <w:t xml:space="preserve"> min read</w:t>
      </w:r>
    </w:p>
    <w:p w14:paraId="7C40A7D5" w14:textId="77777777" w:rsidR="00AA13FB" w:rsidRPr="00AA13FB" w:rsidRDefault="00AA13FB" w:rsidP="00AA13FB">
      <w:pPr>
        <w:pStyle w:val="Body"/>
        <w:jc w:val="both"/>
        <w:rPr>
          <w:rFonts w:ascii="Century Gothic" w:hAnsi="Century Gothic"/>
          <w:color w:val="535353"/>
          <w:sz w:val="22"/>
          <w:szCs w:val="22"/>
          <w:u w:color="808080"/>
          <w:lang w:val="en-US"/>
        </w:rPr>
      </w:pPr>
      <w:r w:rsidRPr="00AA13FB">
        <w:rPr>
          <w:rFonts w:ascii="Century Gothic" w:hAnsi="Century Gothic"/>
          <w:color w:val="535353"/>
          <w:sz w:val="22"/>
          <w:szCs w:val="22"/>
          <w:u w:color="808080"/>
          <w:lang w:val="en-US"/>
        </w:rPr>
        <w:t>It’s hard these days to shake the feeling that our health-care system is defined by anything but crisis. Millions of Canadians are without a family doctor, while thousands die each year waiting for non-emergency surgery.</w:t>
      </w:r>
    </w:p>
    <w:p w14:paraId="5773977B" w14:textId="77777777" w:rsidR="00AA13FB" w:rsidRPr="00AA13FB" w:rsidRDefault="00AA13FB" w:rsidP="00AA13FB">
      <w:pPr>
        <w:pStyle w:val="Body"/>
        <w:jc w:val="both"/>
        <w:rPr>
          <w:rFonts w:ascii="Century Gothic" w:hAnsi="Century Gothic"/>
          <w:color w:val="535353"/>
          <w:sz w:val="22"/>
          <w:szCs w:val="22"/>
          <w:u w:color="808080"/>
          <w:lang w:val="en-US"/>
        </w:rPr>
      </w:pPr>
    </w:p>
    <w:p w14:paraId="08872254" w14:textId="77777777" w:rsidR="00AA13FB" w:rsidRPr="00AA13FB" w:rsidRDefault="00AA13FB" w:rsidP="00AA13FB">
      <w:pPr>
        <w:pStyle w:val="Body"/>
        <w:jc w:val="both"/>
        <w:rPr>
          <w:rFonts w:ascii="Century Gothic" w:hAnsi="Century Gothic"/>
          <w:color w:val="535353"/>
          <w:sz w:val="22"/>
          <w:szCs w:val="22"/>
          <w:u w:color="808080"/>
          <w:lang w:val="en-US"/>
        </w:rPr>
      </w:pPr>
      <w:r w:rsidRPr="00AA13FB">
        <w:rPr>
          <w:rFonts w:ascii="Century Gothic" w:hAnsi="Century Gothic"/>
          <w:color w:val="535353"/>
          <w:sz w:val="22"/>
          <w:szCs w:val="22"/>
          <w:u w:color="808080"/>
          <w:lang w:val="en-US"/>
        </w:rPr>
        <w:t>Canadians shouldn’t have to suffer this way, particularly given we pay for one of the developed world’s most expensive universal health-care systems. To solve the crisis, provincial governments should start thinking differently about how to structure their health-care systems.</w:t>
      </w:r>
    </w:p>
    <w:p w14:paraId="433C9F6C" w14:textId="77777777" w:rsidR="00AA13FB" w:rsidRPr="00AA13FB" w:rsidRDefault="00AA13FB" w:rsidP="00AA13FB">
      <w:pPr>
        <w:pStyle w:val="Body"/>
        <w:jc w:val="both"/>
        <w:rPr>
          <w:rFonts w:ascii="Century Gothic" w:hAnsi="Century Gothic"/>
          <w:color w:val="535353"/>
          <w:sz w:val="22"/>
          <w:szCs w:val="22"/>
          <w:u w:color="808080"/>
          <w:lang w:val="en-US"/>
        </w:rPr>
      </w:pPr>
    </w:p>
    <w:p w14:paraId="07BCC0D7" w14:textId="77777777" w:rsidR="00AA13FB" w:rsidRPr="00AA13FB" w:rsidRDefault="00AA13FB" w:rsidP="00AA13FB">
      <w:pPr>
        <w:pStyle w:val="Body"/>
        <w:jc w:val="both"/>
        <w:rPr>
          <w:rFonts w:ascii="Century Gothic" w:hAnsi="Century Gothic"/>
          <w:color w:val="535353"/>
          <w:sz w:val="22"/>
          <w:szCs w:val="22"/>
          <w:u w:color="808080"/>
          <w:lang w:val="en-US"/>
        </w:rPr>
      </w:pPr>
      <w:r w:rsidRPr="00AA13FB">
        <w:rPr>
          <w:rFonts w:ascii="Century Gothic" w:hAnsi="Century Gothic"/>
          <w:color w:val="535353"/>
          <w:sz w:val="22"/>
          <w:szCs w:val="22"/>
          <w:u w:color="808080"/>
          <w:lang w:val="en-US"/>
        </w:rPr>
        <w:t>Consider first just how badly the current approach is failing. In 2025, the median wait for medically necessary care in Canada is 28.6 weeks, more than half a year. That’s the second-longest wait between a family doctor referral and actual treatment in more than 30 years, with the longest wait ever (30.0 weeks) occurring just last year. And these waits are triple the length experienced in 1993 when the median wait was 9.3 weeks between doctor referral and treatment.</w:t>
      </w:r>
    </w:p>
    <w:p w14:paraId="6F3E99F8" w14:textId="77777777" w:rsidR="00AA13FB" w:rsidRPr="00AA13FB" w:rsidRDefault="00AA13FB" w:rsidP="00AA13FB">
      <w:pPr>
        <w:pStyle w:val="Body"/>
        <w:jc w:val="both"/>
        <w:rPr>
          <w:rFonts w:ascii="Century Gothic" w:hAnsi="Century Gothic"/>
          <w:color w:val="535353"/>
          <w:sz w:val="22"/>
          <w:szCs w:val="22"/>
          <w:u w:color="808080"/>
          <w:lang w:val="en-US"/>
        </w:rPr>
      </w:pPr>
    </w:p>
    <w:p w14:paraId="4FA5C331" w14:textId="77777777" w:rsidR="00AA13FB" w:rsidRPr="00AA13FB" w:rsidRDefault="00AA13FB" w:rsidP="00AA13FB">
      <w:pPr>
        <w:pStyle w:val="Body"/>
        <w:jc w:val="both"/>
        <w:rPr>
          <w:rFonts w:ascii="Century Gothic" w:hAnsi="Century Gothic"/>
          <w:color w:val="535353"/>
          <w:sz w:val="22"/>
          <w:szCs w:val="22"/>
          <w:u w:color="808080"/>
          <w:lang w:val="en-US"/>
        </w:rPr>
      </w:pPr>
      <w:r w:rsidRPr="00AA13FB">
        <w:rPr>
          <w:rFonts w:ascii="Century Gothic" w:hAnsi="Century Gothic"/>
          <w:color w:val="535353"/>
          <w:sz w:val="22"/>
          <w:szCs w:val="22"/>
          <w:u w:color="808080"/>
          <w:lang w:val="en-US"/>
        </w:rPr>
        <w:t>This deterioration happened despite decades of grandiose announcements from federal and provincial governments claiming their next reform plan—paired with another bucket of taxpayer money—would solve Canada’s health-care woes. But those plans added up to minor tinkering at most, leaving the health-care system essentially the same for decades.</w:t>
      </w:r>
    </w:p>
    <w:p w14:paraId="253E11A2" w14:textId="77777777" w:rsidR="00AA13FB" w:rsidRPr="00AA13FB" w:rsidRDefault="00AA13FB" w:rsidP="00AA13FB">
      <w:pPr>
        <w:pStyle w:val="Body"/>
        <w:jc w:val="both"/>
        <w:rPr>
          <w:rFonts w:ascii="Century Gothic" w:hAnsi="Century Gothic"/>
          <w:color w:val="535353"/>
          <w:sz w:val="22"/>
          <w:szCs w:val="22"/>
          <w:u w:color="808080"/>
          <w:lang w:val="en-US"/>
        </w:rPr>
      </w:pPr>
    </w:p>
    <w:p w14:paraId="59373DBB" w14:textId="77777777" w:rsidR="00AA13FB" w:rsidRPr="00AA13FB" w:rsidRDefault="00AA13FB" w:rsidP="00AA13FB">
      <w:pPr>
        <w:pStyle w:val="Body"/>
        <w:jc w:val="both"/>
        <w:rPr>
          <w:rFonts w:ascii="Century Gothic" w:hAnsi="Century Gothic"/>
          <w:color w:val="535353"/>
          <w:sz w:val="22"/>
          <w:szCs w:val="22"/>
          <w:u w:color="808080"/>
          <w:lang w:val="en-US"/>
        </w:rPr>
      </w:pPr>
      <w:r w:rsidRPr="00AA13FB">
        <w:rPr>
          <w:rFonts w:ascii="Century Gothic" w:hAnsi="Century Gothic"/>
          <w:color w:val="535353"/>
          <w:sz w:val="22"/>
          <w:szCs w:val="22"/>
          <w:u w:color="808080"/>
          <w:lang w:val="en-US"/>
        </w:rPr>
        <w:t xml:space="preserve">Again, it doesn’t have to be this way. A cursory look abroad demonstrates clearly that keeping the old failed system in place, while throwing ever-larger sums of money at it, has been a misguided strategy. </w:t>
      </w:r>
      <w:r w:rsidRPr="00AA13FB">
        <w:rPr>
          <w:rFonts w:ascii="Century Gothic" w:hAnsi="Century Gothic"/>
          <w:color w:val="535353"/>
          <w:sz w:val="22"/>
          <w:szCs w:val="22"/>
          <w:u w:color="808080"/>
          <w:lang w:val="en-US"/>
        </w:rPr>
        <w:lastRenderedPageBreak/>
        <w:t>The structure of our health-care system created the crisis; not the amount of money we spend on it. Indeed, Australia, Germany, Switzerland and the Netherlands all have universal systems yet patients in those countries have far better access to health care, far shorter wait times, and spend a similar amount (or less) than we do.</w:t>
      </w:r>
    </w:p>
    <w:p w14:paraId="37480C85" w14:textId="77777777" w:rsidR="00AA13FB" w:rsidRPr="00AA13FB" w:rsidRDefault="00AA13FB" w:rsidP="00AA13FB">
      <w:pPr>
        <w:pStyle w:val="Body"/>
        <w:jc w:val="both"/>
        <w:rPr>
          <w:rFonts w:ascii="Century Gothic" w:hAnsi="Century Gothic"/>
          <w:color w:val="535353"/>
          <w:sz w:val="22"/>
          <w:szCs w:val="22"/>
          <w:u w:color="808080"/>
          <w:lang w:val="en-US"/>
        </w:rPr>
      </w:pPr>
    </w:p>
    <w:p w14:paraId="62151F22" w14:textId="77777777" w:rsidR="00AA13FB" w:rsidRPr="00AA13FB" w:rsidRDefault="00AA13FB" w:rsidP="00AA13FB">
      <w:pPr>
        <w:pStyle w:val="Body"/>
        <w:jc w:val="both"/>
        <w:rPr>
          <w:rFonts w:ascii="Century Gothic" w:hAnsi="Century Gothic"/>
          <w:color w:val="535353"/>
          <w:sz w:val="22"/>
          <w:szCs w:val="22"/>
          <w:u w:color="808080"/>
          <w:lang w:val="en-US"/>
        </w:rPr>
      </w:pPr>
      <w:r w:rsidRPr="00AA13FB">
        <w:rPr>
          <w:rFonts w:ascii="Century Gothic" w:hAnsi="Century Gothic"/>
          <w:color w:val="535353"/>
          <w:sz w:val="22"/>
          <w:szCs w:val="22"/>
          <w:u w:color="808080"/>
          <w:lang w:val="en-US"/>
        </w:rPr>
        <w:t>What do these countries do differently?</w:t>
      </w:r>
    </w:p>
    <w:p w14:paraId="5F584CDE" w14:textId="77777777" w:rsidR="00AA13FB" w:rsidRPr="00AA13FB" w:rsidRDefault="00AA13FB" w:rsidP="00AA13FB">
      <w:pPr>
        <w:pStyle w:val="Body"/>
        <w:jc w:val="both"/>
        <w:rPr>
          <w:rFonts w:ascii="Century Gothic" w:hAnsi="Century Gothic"/>
          <w:color w:val="535353"/>
          <w:sz w:val="22"/>
          <w:szCs w:val="22"/>
          <w:u w:color="808080"/>
          <w:lang w:val="en-US"/>
        </w:rPr>
      </w:pPr>
    </w:p>
    <w:p w14:paraId="5989C19B" w14:textId="77777777" w:rsidR="00AA13FB" w:rsidRPr="00AA13FB" w:rsidRDefault="00AA13FB" w:rsidP="00AA13FB">
      <w:pPr>
        <w:pStyle w:val="Body"/>
        <w:jc w:val="both"/>
        <w:rPr>
          <w:rFonts w:ascii="Century Gothic" w:hAnsi="Century Gothic"/>
          <w:color w:val="535353"/>
          <w:sz w:val="22"/>
          <w:szCs w:val="22"/>
          <w:u w:color="808080"/>
          <w:lang w:val="en-US"/>
        </w:rPr>
      </w:pPr>
      <w:r w:rsidRPr="00AA13FB">
        <w:rPr>
          <w:rFonts w:ascii="Century Gothic" w:hAnsi="Century Gothic"/>
          <w:color w:val="535353"/>
          <w:sz w:val="22"/>
          <w:szCs w:val="22"/>
          <w:u w:color="808080"/>
          <w:lang w:val="en-US"/>
        </w:rPr>
        <w:t>For starters, all of them pay their hospitals differently. Except for Quebec (and hopefully soon, Alberta), every province essentially pays their hospitals a lump sum of money at the beginning of the year. This approach disincentivizes hospitals from providing more care because each patient represents a drain on their budgets.</w:t>
      </w:r>
    </w:p>
    <w:p w14:paraId="14D532CD" w14:textId="77777777" w:rsidR="00AA13FB" w:rsidRPr="00AA13FB" w:rsidRDefault="00AA13FB" w:rsidP="00AA13FB">
      <w:pPr>
        <w:pStyle w:val="Body"/>
        <w:jc w:val="both"/>
        <w:rPr>
          <w:rFonts w:ascii="Century Gothic" w:hAnsi="Century Gothic"/>
          <w:color w:val="535353"/>
          <w:sz w:val="22"/>
          <w:szCs w:val="22"/>
          <w:u w:color="808080"/>
          <w:lang w:val="en-US"/>
        </w:rPr>
      </w:pPr>
    </w:p>
    <w:p w14:paraId="520A8DA1" w14:textId="77777777" w:rsidR="00AA13FB" w:rsidRPr="00AA13FB" w:rsidRDefault="00AA13FB" w:rsidP="00AA13FB">
      <w:pPr>
        <w:pStyle w:val="Body"/>
        <w:jc w:val="both"/>
        <w:rPr>
          <w:rFonts w:ascii="Century Gothic" w:hAnsi="Century Gothic"/>
          <w:color w:val="535353"/>
          <w:sz w:val="22"/>
          <w:szCs w:val="22"/>
          <w:u w:color="808080"/>
          <w:lang w:val="en-US"/>
        </w:rPr>
      </w:pPr>
      <w:r w:rsidRPr="00AA13FB">
        <w:rPr>
          <w:rFonts w:ascii="Century Gothic" w:hAnsi="Century Gothic"/>
          <w:color w:val="535353"/>
          <w:sz w:val="22"/>
          <w:szCs w:val="22"/>
          <w:u w:color="808080"/>
          <w:lang w:val="en-US"/>
        </w:rPr>
        <w:t>In contrast, these other higher-performing universal health-care countries pay their hospitals for each patient they treat, and because patients are no longer a cost to the budget but instead a source of revenue, hospitals are incentivized to increase services and thus reduce wait times.</w:t>
      </w:r>
    </w:p>
    <w:p w14:paraId="79E84B4D" w14:textId="77777777" w:rsidR="00AA13FB" w:rsidRPr="00AA13FB" w:rsidRDefault="00AA13FB" w:rsidP="00AA13FB">
      <w:pPr>
        <w:pStyle w:val="Body"/>
        <w:jc w:val="both"/>
        <w:rPr>
          <w:rFonts w:ascii="Century Gothic" w:hAnsi="Century Gothic"/>
          <w:color w:val="535353"/>
          <w:sz w:val="22"/>
          <w:szCs w:val="22"/>
          <w:u w:color="808080"/>
          <w:lang w:val="en-US"/>
        </w:rPr>
      </w:pPr>
    </w:p>
    <w:p w14:paraId="5F9DC5CD" w14:textId="77777777" w:rsidR="00AA13FB" w:rsidRPr="00AA13FB" w:rsidRDefault="00AA13FB" w:rsidP="00AA13FB">
      <w:pPr>
        <w:pStyle w:val="Body"/>
        <w:jc w:val="both"/>
        <w:rPr>
          <w:rFonts w:ascii="Century Gothic" w:hAnsi="Century Gothic"/>
          <w:color w:val="535353"/>
          <w:sz w:val="22"/>
          <w:szCs w:val="22"/>
          <w:u w:color="808080"/>
          <w:lang w:val="en-US"/>
        </w:rPr>
      </w:pPr>
      <w:r w:rsidRPr="00AA13FB">
        <w:rPr>
          <w:rFonts w:ascii="Century Gothic" w:hAnsi="Century Gothic"/>
          <w:color w:val="535353"/>
          <w:sz w:val="22"/>
          <w:szCs w:val="22"/>
          <w:u w:color="808080"/>
          <w:lang w:val="en-US"/>
        </w:rPr>
        <w:t xml:space="preserve">The public and private sectors in these countries also partner in the delivery of health care. In Switzerland, for example, 60 per cent of all hospitalizations occur in private facilities. In Australia, private hospitals handle </w:t>
      </w:r>
      <w:proofErr w:type="gramStart"/>
      <w:r w:rsidRPr="00AA13FB">
        <w:rPr>
          <w:rFonts w:ascii="Century Gothic" w:hAnsi="Century Gothic"/>
          <w:color w:val="535353"/>
          <w:sz w:val="22"/>
          <w:szCs w:val="22"/>
          <w:u w:color="808080"/>
          <w:lang w:val="en-US"/>
        </w:rPr>
        <w:t>the majority of</w:t>
      </w:r>
      <w:proofErr w:type="gramEnd"/>
      <w:r w:rsidRPr="00AA13FB">
        <w:rPr>
          <w:rFonts w:ascii="Century Gothic" w:hAnsi="Century Gothic"/>
          <w:color w:val="535353"/>
          <w:sz w:val="22"/>
          <w:szCs w:val="22"/>
          <w:u w:color="808080"/>
          <w:lang w:val="en-US"/>
        </w:rPr>
        <w:t xml:space="preserve"> non-emergency surgeries. In Germany, a mix of private and public hospitals provide care, and in the Netherlands, all hospitals are private. And in all these countries, the system is designed to ensure timely quality care for all patients, no matter who delivers it.</w:t>
      </w:r>
    </w:p>
    <w:p w14:paraId="42BA3AFD" w14:textId="77777777" w:rsidR="00AA13FB" w:rsidRPr="00AA13FB" w:rsidRDefault="00AA13FB" w:rsidP="00AA13FB">
      <w:pPr>
        <w:pStyle w:val="Body"/>
        <w:jc w:val="both"/>
        <w:rPr>
          <w:rFonts w:ascii="Century Gothic" w:hAnsi="Century Gothic"/>
          <w:color w:val="535353"/>
          <w:sz w:val="22"/>
          <w:szCs w:val="22"/>
          <w:u w:color="808080"/>
          <w:lang w:val="en-US"/>
        </w:rPr>
      </w:pPr>
    </w:p>
    <w:p w14:paraId="216128E4" w14:textId="7D75DCDD" w:rsidR="00512A67" w:rsidRDefault="00AA13FB" w:rsidP="00AA13FB">
      <w:pPr>
        <w:pStyle w:val="Body"/>
        <w:jc w:val="both"/>
        <w:rPr>
          <w:rFonts w:ascii="Century Gothic" w:hAnsi="Century Gothic"/>
          <w:color w:val="535353"/>
          <w:sz w:val="22"/>
          <w:szCs w:val="22"/>
          <w:u w:color="808080"/>
          <w:lang w:val="en-US"/>
        </w:rPr>
      </w:pPr>
      <w:r w:rsidRPr="00AA13FB">
        <w:rPr>
          <w:rFonts w:ascii="Century Gothic" w:hAnsi="Century Gothic"/>
          <w:color w:val="535353"/>
          <w:sz w:val="22"/>
          <w:szCs w:val="22"/>
          <w:u w:color="808080"/>
          <w:lang w:val="en-US"/>
        </w:rPr>
        <w:t>Canada’s health-care system is failing patients. And while policymakers have spent decades pouring money into the same failed system, other countries do health care better than us precisely because they do it differently than us. To solve Canada’s health-care crisis, policymakers must realize there are many options for health-care reform, and that breaking from the status quo is an essential first step.</w:t>
      </w:r>
    </w:p>
    <w:p w14:paraId="5FB11C0D" w14:textId="77777777" w:rsidR="003479F2" w:rsidRDefault="003479F2">
      <w:pPr>
        <w:pStyle w:val="Body"/>
        <w:spacing w:line="288" w:lineRule="auto"/>
        <w:rPr>
          <w:rFonts w:ascii="Century Gothic" w:eastAsia="Century Gothic" w:hAnsi="Century Gothic" w:cs="Century Gothic"/>
          <w:color w:val="535353"/>
          <w:sz w:val="22"/>
          <w:szCs w:val="22"/>
          <w:u w:color="808080"/>
          <w:lang w:val="en-US"/>
        </w:rPr>
      </w:pPr>
    </w:p>
    <w:p w14:paraId="5C936B41" w14:textId="38C12EA7" w:rsidR="003479F2" w:rsidRPr="00AA13FB" w:rsidRDefault="00AA13FB" w:rsidP="00AA13FB">
      <w:pPr>
        <w:rPr>
          <w:sz w:val="20"/>
          <w:szCs w:val="20"/>
        </w:rPr>
      </w:pPr>
      <w:r w:rsidRPr="00AA13FB">
        <w:rPr>
          <w:rFonts w:ascii="Helvetica" w:hAnsi="Helvetica" w:cs="Helvetica"/>
          <w:color w:val="A5A6B7"/>
          <w:sz w:val="18"/>
          <w:szCs w:val="20"/>
        </w:rPr>
        <w:t xml:space="preserve">This article was first published by The Fraser Institute in the Toronto Sun. Read it at: </w:t>
      </w:r>
      <w:r w:rsidRPr="00AA13FB">
        <w:rPr>
          <w:rFonts w:ascii="Helvetica" w:hAnsi="Helvetica" w:cs="Helvetica"/>
          <w:color w:val="A5A6B7"/>
          <w:sz w:val="18"/>
          <w:szCs w:val="20"/>
          <w:u w:val="single"/>
        </w:rPr>
        <w:t>https://www.fraserinstitute.org/commentary/time-think-differently-about-health-care-canada</w:t>
      </w:r>
    </w:p>
    <w:p w14:paraId="244C2374" w14:textId="77777777" w:rsidR="00AA13FB" w:rsidRDefault="00AA13FB" w:rsidP="008D6193">
      <w:pPr>
        <w:pStyle w:val="Default"/>
        <w:rPr>
          <w:rFonts w:ascii="Century Gothic" w:hAnsi="Century Gothic"/>
          <w:color w:val="A5A6B7"/>
          <w:sz w:val="20"/>
          <w:szCs w:val="20"/>
          <w:shd w:val="clear" w:color="auto" w:fill="FFFFFF"/>
        </w:rPr>
      </w:pPr>
    </w:p>
    <w:p w14:paraId="40321DE1" w14:textId="77777777" w:rsidR="004452AA" w:rsidRDefault="004452AA">
      <w:pPr>
        <w:pStyle w:val="Body"/>
        <w:spacing w:line="288" w:lineRule="auto"/>
        <w:rPr>
          <w:rFonts w:ascii="Century Gothic" w:eastAsia="Century Gothic" w:hAnsi="Century Gothic" w:cs="Century Gothic"/>
          <w:b/>
          <w:bCs/>
          <w:color w:val="808080"/>
          <w:spacing w:val="33"/>
          <w:sz w:val="20"/>
          <w:szCs w:val="20"/>
          <w:u w:color="808080"/>
          <w:lang w:val="en-US"/>
        </w:rPr>
      </w:pPr>
    </w:p>
    <w:p w14:paraId="4D992BCA" w14:textId="64E361C0" w:rsidR="00CB78C7" w:rsidRDefault="00BC55A6" w:rsidP="00CB78C7">
      <w:pPr>
        <w:pStyle w:val="Body"/>
        <w:spacing w:line="276" w:lineRule="auto"/>
        <w:rPr>
          <w:rFonts w:ascii="Century Gothic" w:eastAsia="Century Gothic" w:hAnsi="Century Gothic" w:cs="Century Gothic"/>
          <w:color w:val="808080"/>
          <w:spacing w:val="80"/>
          <w:sz w:val="22"/>
          <w:szCs w:val="22"/>
          <w:u w:color="808080"/>
          <w:lang w:val="en-US"/>
        </w:rPr>
      </w:pPr>
      <w:r>
        <w:rPr>
          <w:rFonts w:ascii="Century Gothic" w:hAnsi="Century Gothic"/>
          <w:b/>
          <w:bCs/>
          <w:color w:val="808080"/>
          <w:spacing w:val="80"/>
          <w:sz w:val="48"/>
          <w:szCs w:val="48"/>
          <w:u w:color="808080"/>
          <w:lang w:val="en-US"/>
        </w:rPr>
        <w:t>Health and Wellness</w:t>
      </w:r>
      <w:r w:rsidR="00CB78C7">
        <w:rPr>
          <w:rFonts w:ascii="Century Gothic" w:hAnsi="Century Gothic"/>
          <w:b/>
          <w:bCs/>
          <w:color w:val="808080"/>
          <w:spacing w:val="80"/>
          <w:sz w:val="48"/>
          <w:szCs w:val="48"/>
          <w:u w:color="808080"/>
          <w:lang w:val="en-US"/>
        </w:rPr>
        <w:t xml:space="preserve"> </w:t>
      </w:r>
      <w:r w:rsidR="00CB78C7">
        <w:rPr>
          <w:rFonts w:ascii="Century Gothic" w:eastAsia="Century Gothic" w:hAnsi="Century Gothic" w:cs="Century Gothic"/>
          <w:b/>
          <w:bCs/>
          <w:noProof/>
          <w:sz w:val="22"/>
          <w:szCs w:val="22"/>
        </w:rPr>
        <w:drawing>
          <wp:inline distT="0" distB="0" distL="0" distR="0" wp14:anchorId="4EDB0D29" wp14:editId="4494C9F1">
            <wp:extent cx="6794500" cy="65406"/>
            <wp:effectExtent l="0" t="0" r="0" b="0"/>
            <wp:docPr id="1073741831" name="officeArt object" descr="image1.png"/>
            <wp:cNvGraphicFramePr/>
            <a:graphic xmlns:a="http://schemas.openxmlformats.org/drawingml/2006/main">
              <a:graphicData uri="http://schemas.openxmlformats.org/drawingml/2006/picture">
                <pic:pic xmlns:pic="http://schemas.openxmlformats.org/drawingml/2006/picture">
                  <pic:nvPicPr>
                    <pic:cNvPr id="1073741831" name="image1.png" descr="image1.png"/>
                    <pic:cNvPicPr>
                      <a:picLocks noChangeAspect="1"/>
                    </pic:cNvPicPr>
                  </pic:nvPicPr>
                  <pic:blipFill>
                    <a:blip r:embed="rId8"/>
                    <a:stretch>
                      <a:fillRect/>
                    </a:stretch>
                  </pic:blipFill>
                  <pic:spPr>
                    <a:xfrm>
                      <a:off x="0" y="0"/>
                      <a:ext cx="6794500" cy="65406"/>
                    </a:xfrm>
                    <a:prstGeom prst="rect">
                      <a:avLst/>
                    </a:prstGeom>
                    <a:ln w="12700" cap="flat">
                      <a:noFill/>
                      <a:miter lim="400000"/>
                    </a:ln>
                    <a:effectLst/>
                  </pic:spPr>
                </pic:pic>
              </a:graphicData>
            </a:graphic>
          </wp:inline>
        </w:drawing>
      </w:r>
      <w:r w:rsidR="00CB78C7">
        <w:rPr>
          <w:rFonts w:ascii="Century Gothic" w:hAnsi="Century Gothic"/>
          <w:color w:val="808080"/>
          <w:sz w:val="28"/>
          <w:szCs w:val="28"/>
          <w:u w:color="808080"/>
          <w:lang w:val="en-US"/>
        </w:rPr>
        <w:t>“</w:t>
      </w:r>
      <w:r w:rsidR="00CB78C7" w:rsidRPr="00820122">
        <w:t xml:space="preserve"> </w:t>
      </w:r>
      <w:r w:rsidR="00A7094D">
        <w:rPr>
          <w:rFonts w:ascii="Century Gothic" w:hAnsi="Century Gothic"/>
          <w:color w:val="808080"/>
          <w:sz w:val="28"/>
          <w:szCs w:val="28"/>
          <w:u w:color="808080"/>
          <w:lang w:val="en-US"/>
        </w:rPr>
        <w:t>A healthy outside starts form the inside</w:t>
      </w:r>
      <w:r w:rsidR="00CB78C7">
        <w:rPr>
          <w:rFonts w:ascii="Century Gothic" w:hAnsi="Century Gothic"/>
          <w:color w:val="808080"/>
          <w:sz w:val="28"/>
          <w:szCs w:val="28"/>
          <w:u w:color="808080"/>
          <w:lang w:val="en-US"/>
        </w:rPr>
        <w:t xml:space="preserve">.” </w:t>
      </w:r>
      <w:r w:rsidR="00CB78C7" w:rsidRPr="00BC0545">
        <w:rPr>
          <w:rFonts w:ascii="Century Gothic" w:hAnsi="Century Gothic"/>
          <w:i/>
          <w:iCs/>
          <w:color w:val="808080"/>
          <w:sz w:val="28"/>
          <w:szCs w:val="28"/>
          <w:u w:color="808080"/>
          <w:lang w:val="en-US"/>
        </w:rPr>
        <w:t xml:space="preserve">- </w:t>
      </w:r>
      <w:r w:rsidR="00A7094D">
        <w:rPr>
          <w:rFonts w:ascii="Century Gothic" w:hAnsi="Century Gothic"/>
          <w:i/>
          <w:iCs/>
          <w:color w:val="808080"/>
          <w:spacing w:val="80"/>
          <w:sz w:val="22"/>
          <w:szCs w:val="22"/>
          <w:u w:color="808080"/>
          <w:lang w:val="en-US"/>
        </w:rPr>
        <w:t>Robert Urich</w:t>
      </w:r>
    </w:p>
    <w:p w14:paraId="0831B994" w14:textId="77777777" w:rsidR="00CB78C7" w:rsidRDefault="00CB78C7" w:rsidP="00CB78C7">
      <w:pPr>
        <w:pStyle w:val="Default"/>
        <w:rPr>
          <w:sz w:val="29"/>
          <w:szCs w:val="29"/>
        </w:rPr>
      </w:pPr>
    </w:p>
    <w:p w14:paraId="76A92A65" w14:textId="03BFAFEE" w:rsidR="00CB78C7" w:rsidRPr="00EA2E0A" w:rsidRDefault="003B22D5" w:rsidP="00CB78C7">
      <w:pPr>
        <w:pStyle w:val="Body"/>
        <w:rPr>
          <w:rFonts w:ascii="Century Gothic" w:eastAsia="Century Gothic" w:hAnsi="Century Gothic" w:cs="Century Gothic"/>
          <w:color w:val="535353"/>
          <w:spacing w:val="66"/>
          <w:sz w:val="16"/>
          <w:szCs w:val="16"/>
          <w:u w:color="808080"/>
          <w:lang w:val="en-US"/>
        </w:rPr>
      </w:pPr>
      <w:r w:rsidRPr="003B22D5">
        <w:rPr>
          <w:rFonts w:ascii="Century Gothic" w:hAnsi="Century Gothic"/>
          <w:b/>
          <w:bCs/>
          <w:color w:val="535353"/>
          <w:sz w:val="28"/>
          <w:szCs w:val="28"/>
          <w:u w:color="808080"/>
          <w:lang w:val="en-US"/>
        </w:rPr>
        <w:t>Nutrition Check-up for Older Adults Now Available</w:t>
      </w:r>
      <w:r>
        <w:rPr>
          <w:rFonts w:ascii="Century Gothic" w:hAnsi="Century Gothic"/>
          <w:b/>
          <w:bCs/>
          <w:color w:val="535353"/>
          <w:sz w:val="28"/>
          <w:szCs w:val="28"/>
          <w:u w:color="808080"/>
          <w:lang w:val="en-US"/>
        </w:rPr>
        <w:t xml:space="preserve"> </w:t>
      </w:r>
      <w:r w:rsidR="00CB78C7">
        <w:rPr>
          <w:rFonts w:ascii="Century Gothic" w:hAnsi="Century Gothic"/>
          <w:b/>
          <w:bCs/>
          <w:color w:val="535353"/>
          <w:sz w:val="28"/>
          <w:szCs w:val="28"/>
          <w:u w:color="808080"/>
          <w:lang w:val="en-US"/>
        </w:rPr>
        <w:t>-</w:t>
      </w:r>
      <w:r w:rsidRPr="003B22D5">
        <w:rPr>
          <w:rFonts w:ascii="Century Gothic" w:hAnsi="Century Gothic"/>
          <w:color w:val="535353"/>
          <w:spacing w:val="66"/>
          <w:sz w:val="16"/>
          <w:szCs w:val="16"/>
          <w:u w:color="808080"/>
          <w:lang w:val="en-US"/>
        </w:rPr>
        <w:t xml:space="preserve"> Alberta Health Services, Nutrition Services</w:t>
      </w:r>
    </w:p>
    <w:p w14:paraId="2EF3A7FE" w14:textId="77777777" w:rsidR="002716EF" w:rsidRDefault="002716EF" w:rsidP="00CB78C7">
      <w:pPr>
        <w:pStyle w:val="Body"/>
        <w:rPr>
          <w:rFonts w:ascii="Century Gothic" w:hAnsi="Century Gothic"/>
          <w:i/>
          <w:iCs/>
          <w:color w:val="535353"/>
          <w:sz w:val="16"/>
          <w:szCs w:val="16"/>
          <w:u w:color="808080"/>
          <w:lang w:val="en-US"/>
        </w:rPr>
      </w:pPr>
    </w:p>
    <w:p w14:paraId="52CC5768" w14:textId="6BCCE82B" w:rsidR="00CB78C7" w:rsidRDefault="003B22D5" w:rsidP="00CB78C7">
      <w:pPr>
        <w:pStyle w:val="Body"/>
        <w:rPr>
          <w:rFonts w:ascii="Century Gothic" w:hAnsi="Century Gothic"/>
          <w:i/>
          <w:iCs/>
          <w:color w:val="535353"/>
          <w:sz w:val="16"/>
          <w:szCs w:val="16"/>
          <w:u w:color="808080"/>
          <w:lang w:val="en-US"/>
        </w:rPr>
      </w:pPr>
      <w:bookmarkStart w:id="20" w:name="_Hlk218606362"/>
      <w:r>
        <w:rPr>
          <w:rFonts w:ascii="Century Gothic" w:hAnsi="Century Gothic"/>
          <w:i/>
          <w:iCs/>
          <w:color w:val="535353"/>
          <w:sz w:val="16"/>
          <w:szCs w:val="16"/>
          <w:u w:color="808080"/>
          <w:lang w:val="en-US"/>
        </w:rPr>
        <w:t xml:space="preserve">Under 2 </w:t>
      </w:r>
      <w:r w:rsidR="00CB78C7" w:rsidRPr="00820122">
        <w:rPr>
          <w:rFonts w:ascii="Century Gothic" w:hAnsi="Century Gothic"/>
          <w:i/>
          <w:iCs/>
          <w:color w:val="535353"/>
          <w:sz w:val="16"/>
          <w:szCs w:val="16"/>
          <w:u w:color="808080"/>
          <w:lang w:val="en-US"/>
        </w:rPr>
        <w:t>min read</w:t>
      </w:r>
    </w:p>
    <w:bookmarkEnd w:id="20"/>
    <w:p w14:paraId="245B2178" w14:textId="77777777" w:rsidR="00CB78C7" w:rsidRDefault="00CB78C7" w:rsidP="00CB78C7">
      <w:pPr>
        <w:pStyle w:val="Body"/>
        <w:rPr>
          <w:rFonts w:ascii="Century Gothic" w:eastAsia="Century Gothic" w:hAnsi="Century Gothic" w:cs="Century Gothic"/>
          <w:color w:val="535353"/>
          <w:sz w:val="22"/>
          <w:szCs w:val="22"/>
          <w:u w:color="808080"/>
          <w:lang w:val="en-US"/>
        </w:rPr>
      </w:pPr>
    </w:p>
    <w:p w14:paraId="7AA3E3EC" w14:textId="77777777" w:rsidR="003B22D5" w:rsidRPr="003B22D5" w:rsidRDefault="003B22D5" w:rsidP="002716EF">
      <w:pPr>
        <w:pStyle w:val="Body"/>
        <w:jc w:val="both"/>
        <w:rPr>
          <w:rFonts w:ascii="Century Gothic" w:hAnsi="Century Gothic"/>
          <w:color w:val="535353"/>
          <w:sz w:val="22"/>
          <w:szCs w:val="22"/>
          <w:u w:color="808080"/>
          <w:lang w:val="en-US"/>
        </w:rPr>
      </w:pPr>
      <w:r w:rsidRPr="003B22D5">
        <w:rPr>
          <w:rFonts w:ascii="Century Gothic" w:hAnsi="Century Gothic"/>
          <w:color w:val="535353"/>
          <w:sz w:val="22"/>
          <w:szCs w:val="22"/>
          <w:u w:color="808080"/>
          <w:lang w:val="en-US"/>
        </w:rPr>
        <w:t>Alberta Health Services (AHS) is excited to announce the launch of the Nutrition Check-up for Older Adults, a quick and easy online screening tool designed to support the health and independence of older Albertans.</w:t>
      </w:r>
    </w:p>
    <w:p w14:paraId="7C6BCAAB" w14:textId="77777777" w:rsidR="003B22D5" w:rsidRPr="003B22D5" w:rsidRDefault="003B22D5" w:rsidP="002716EF">
      <w:pPr>
        <w:pStyle w:val="Body"/>
        <w:jc w:val="both"/>
        <w:rPr>
          <w:rFonts w:ascii="Century Gothic" w:hAnsi="Century Gothic"/>
          <w:color w:val="535353"/>
          <w:sz w:val="22"/>
          <w:szCs w:val="22"/>
          <w:u w:color="808080"/>
          <w:lang w:val="en-US"/>
        </w:rPr>
      </w:pPr>
    </w:p>
    <w:p w14:paraId="4E4AFEBA" w14:textId="77777777" w:rsidR="003B22D5" w:rsidRPr="003B22D5" w:rsidRDefault="003B22D5" w:rsidP="002716EF">
      <w:pPr>
        <w:pStyle w:val="Body"/>
        <w:jc w:val="both"/>
        <w:rPr>
          <w:rFonts w:ascii="Century Gothic" w:hAnsi="Century Gothic"/>
          <w:color w:val="535353"/>
          <w:sz w:val="22"/>
          <w:szCs w:val="22"/>
          <w:u w:color="808080"/>
          <w:lang w:val="en-US"/>
        </w:rPr>
      </w:pPr>
      <w:r w:rsidRPr="003B22D5">
        <w:rPr>
          <w:rFonts w:ascii="Century Gothic" w:hAnsi="Century Gothic"/>
          <w:color w:val="535353"/>
          <w:sz w:val="22"/>
          <w:szCs w:val="22"/>
          <w:u w:color="808080"/>
          <w:lang w:val="en-US"/>
        </w:rPr>
        <w:lastRenderedPageBreak/>
        <w:t>As we age, changes in appetite, weight, swallowing, and meal habits can quietly impact our nutrition—often going unnoticed until they lead to more serious concerns like frailty or falls. This new tool helps identify those risks early.</w:t>
      </w:r>
    </w:p>
    <w:p w14:paraId="2E1B021C" w14:textId="77777777" w:rsidR="003B22D5" w:rsidRPr="003B22D5" w:rsidRDefault="003B22D5" w:rsidP="002716EF">
      <w:pPr>
        <w:pStyle w:val="Body"/>
        <w:jc w:val="both"/>
        <w:rPr>
          <w:rFonts w:ascii="Century Gothic" w:hAnsi="Century Gothic"/>
          <w:color w:val="535353"/>
          <w:sz w:val="22"/>
          <w:szCs w:val="22"/>
          <w:u w:color="808080"/>
          <w:lang w:val="en-US"/>
        </w:rPr>
      </w:pPr>
    </w:p>
    <w:p w14:paraId="5D2CAC29" w14:textId="77777777" w:rsidR="003B22D5" w:rsidRPr="003B22D5" w:rsidRDefault="003B22D5" w:rsidP="002716EF">
      <w:pPr>
        <w:pStyle w:val="Body"/>
        <w:jc w:val="both"/>
        <w:rPr>
          <w:rFonts w:ascii="Century Gothic" w:hAnsi="Century Gothic"/>
          <w:color w:val="535353"/>
          <w:sz w:val="22"/>
          <w:szCs w:val="22"/>
          <w:u w:color="808080"/>
          <w:lang w:val="en-US"/>
        </w:rPr>
      </w:pPr>
      <w:r w:rsidRPr="003B22D5">
        <w:rPr>
          <w:rFonts w:ascii="Century Gothic" w:hAnsi="Century Gothic"/>
          <w:color w:val="535353"/>
          <w:sz w:val="22"/>
          <w:szCs w:val="22"/>
          <w:u w:color="808080"/>
          <w:lang w:val="en-US"/>
        </w:rPr>
        <w:t>In just a few minutes, older adults can complete a simple questionnaire and receive a personalized report with practical tips, helpful resources, and guidance on where things are going well—and where there may be room for improvement.</w:t>
      </w:r>
    </w:p>
    <w:p w14:paraId="15D57F62" w14:textId="77777777" w:rsidR="003B22D5" w:rsidRPr="003B22D5" w:rsidRDefault="003B22D5" w:rsidP="002716EF">
      <w:pPr>
        <w:pStyle w:val="Body"/>
        <w:jc w:val="both"/>
        <w:rPr>
          <w:rFonts w:ascii="Century Gothic" w:hAnsi="Century Gothic"/>
          <w:color w:val="535353"/>
          <w:sz w:val="22"/>
          <w:szCs w:val="22"/>
          <w:u w:color="808080"/>
          <w:lang w:val="en-US"/>
        </w:rPr>
      </w:pPr>
    </w:p>
    <w:p w14:paraId="3A8487F3" w14:textId="77777777" w:rsidR="003B22D5" w:rsidRPr="003B22D5" w:rsidRDefault="003B22D5" w:rsidP="002716EF">
      <w:pPr>
        <w:pStyle w:val="Body"/>
        <w:jc w:val="both"/>
        <w:rPr>
          <w:rFonts w:ascii="Century Gothic" w:hAnsi="Century Gothic"/>
          <w:color w:val="535353"/>
          <w:sz w:val="22"/>
          <w:szCs w:val="22"/>
          <w:u w:color="808080"/>
          <w:lang w:val="en-US"/>
        </w:rPr>
      </w:pPr>
      <w:r w:rsidRPr="003B22D5">
        <w:rPr>
          <w:rFonts w:ascii="Century Gothic" w:hAnsi="Century Gothic"/>
          <w:color w:val="535353"/>
          <w:sz w:val="22"/>
          <w:szCs w:val="22"/>
          <w:u w:color="808080"/>
          <w:lang w:val="en-US"/>
        </w:rPr>
        <w:t>Take the Nutrition Check-up today and encourage the older adults in your life – parents, grandparents, friends, or caregivers – to do the same!</w:t>
      </w:r>
    </w:p>
    <w:p w14:paraId="09605BB5" w14:textId="77777777" w:rsidR="003B22D5" w:rsidRPr="003B22D5" w:rsidRDefault="003B22D5" w:rsidP="002716EF">
      <w:pPr>
        <w:pStyle w:val="Body"/>
        <w:jc w:val="both"/>
        <w:rPr>
          <w:rFonts w:ascii="Century Gothic" w:hAnsi="Century Gothic"/>
          <w:color w:val="535353"/>
          <w:sz w:val="22"/>
          <w:szCs w:val="22"/>
          <w:u w:color="808080"/>
          <w:lang w:val="en-US"/>
        </w:rPr>
      </w:pPr>
    </w:p>
    <w:p w14:paraId="50AAEDD8" w14:textId="77777777" w:rsidR="003B22D5" w:rsidRDefault="003B22D5" w:rsidP="002716EF">
      <w:pPr>
        <w:pStyle w:val="Body"/>
        <w:jc w:val="both"/>
        <w:rPr>
          <w:rFonts w:ascii="Century Gothic" w:hAnsi="Century Gothic"/>
          <w:color w:val="535353"/>
          <w:sz w:val="22"/>
          <w:szCs w:val="22"/>
          <w:u w:color="808080"/>
          <w:lang w:val="en-US"/>
        </w:rPr>
      </w:pPr>
      <w:r w:rsidRPr="003B22D5">
        <w:rPr>
          <w:rFonts w:ascii="Century Gothic" w:hAnsi="Century Gothic"/>
          <w:color w:val="535353"/>
          <w:sz w:val="22"/>
          <w:szCs w:val="22"/>
          <w:u w:color="808080"/>
          <w:lang w:val="en-US"/>
        </w:rPr>
        <w:t>Scan the QR code or visit ahs.ca/</w:t>
      </w:r>
      <w:proofErr w:type="spellStart"/>
      <w:r w:rsidRPr="003B22D5">
        <w:rPr>
          <w:rFonts w:ascii="Century Gothic" w:hAnsi="Century Gothic"/>
          <w:color w:val="535353"/>
          <w:sz w:val="22"/>
          <w:szCs w:val="22"/>
          <w:u w:color="808080"/>
          <w:lang w:val="en-US"/>
        </w:rPr>
        <w:t>OlderAdultNutrition</w:t>
      </w:r>
      <w:proofErr w:type="spellEnd"/>
      <w:r w:rsidRPr="003B22D5">
        <w:rPr>
          <w:rFonts w:ascii="Century Gothic" w:hAnsi="Century Gothic"/>
          <w:color w:val="535353"/>
          <w:sz w:val="22"/>
          <w:szCs w:val="22"/>
          <w:u w:color="808080"/>
          <w:lang w:val="en-US"/>
        </w:rPr>
        <w:t>.</w:t>
      </w:r>
    </w:p>
    <w:p w14:paraId="0AACD941" w14:textId="43FB27F0" w:rsidR="003B22D5" w:rsidRPr="003B22D5" w:rsidRDefault="002716EF" w:rsidP="002716EF">
      <w:pPr>
        <w:pStyle w:val="Body"/>
        <w:jc w:val="both"/>
        <w:rPr>
          <w:rFonts w:ascii="Century Gothic" w:hAnsi="Century Gothic"/>
          <w:color w:val="535353"/>
          <w:sz w:val="22"/>
          <w:szCs w:val="22"/>
          <w:u w:color="808080"/>
          <w:lang w:val="en-US"/>
        </w:rPr>
      </w:pPr>
      <w:r>
        <w:rPr>
          <w:rFonts w:ascii="Century Gothic" w:hAnsi="Century Gothic"/>
          <w:color w:val="535353"/>
          <w:sz w:val="22"/>
          <w:szCs w:val="22"/>
          <w:u w:color="808080"/>
          <w:lang w:val="en-US"/>
        </w:rPr>
        <w:t xml:space="preserve">  </w:t>
      </w:r>
      <w:r>
        <w:rPr>
          <w:rFonts w:ascii="Century Gothic" w:hAnsi="Century Gothic"/>
          <w:noProof/>
          <w:color w:val="535353"/>
          <w:sz w:val="22"/>
          <w:szCs w:val="22"/>
          <w:u w:color="808080"/>
          <w:lang w:val="en-US"/>
        </w:rPr>
        <w:drawing>
          <wp:inline distT="0" distB="0" distL="0" distR="0" wp14:anchorId="1537F057" wp14:editId="1A8E1521">
            <wp:extent cx="1188000" cy="1188000"/>
            <wp:effectExtent l="0" t="0" r="0" b="0"/>
            <wp:docPr id="120729966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88000" cy="1188000"/>
                    </a:xfrm>
                    <a:prstGeom prst="rect">
                      <a:avLst/>
                    </a:prstGeom>
                    <a:noFill/>
                  </pic:spPr>
                </pic:pic>
              </a:graphicData>
            </a:graphic>
          </wp:inline>
        </w:drawing>
      </w:r>
    </w:p>
    <w:p w14:paraId="6385DC52" w14:textId="77777777" w:rsidR="00CB78C7" w:rsidRDefault="00CB78C7" w:rsidP="00CB78C7">
      <w:pPr>
        <w:pStyle w:val="Body"/>
        <w:spacing w:line="288" w:lineRule="auto"/>
        <w:rPr>
          <w:rFonts w:ascii="Century Gothic" w:eastAsia="Century Gothic" w:hAnsi="Century Gothic" w:cs="Century Gothic"/>
          <w:color w:val="535353"/>
          <w:sz w:val="22"/>
          <w:szCs w:val="22"/>
          <w:u w:color="808080"/>
          <w:lang w:val="en-US"/>
        </w:rPr>
      </w:pPr>
    </w:p>
    <w:p w14:paraId="4AB6FF57" w14:textId="57CD5107" w:rsidR="002716EF" w:rsidRPr="002716EF" w:rsidRDefault="002716EF" w:rsidP="00B6194E">
      <w:pPr>
        <w:pStyle w:val="Default"/>
        <w:rPr>
          <w:sz w:val="18"/>
          <w:szCs w:val="18"/>
        </w:rPr>
      </w:pPr>
      <w:r w:rsidRPr="002716EF">
        <w:rPr>
          <w:rFonts w:cs="Helvetica"/>
          <w:color w:val="A5A6B7"/>
          <w:sz w:val="18"/>
          <w:szCs w:val="18"/>
        </w:rPr>
        <w:t>Republished from Where Calgary. Read the original article</w:t>
      </w:r>
      <w:r w:rsidRPr="002716EF">
        <w:rPr>
          <w:rFonts w:cs="Helvetica"/>
          <w:color w:val="A7A7A7" w:themeColor="text2"/>
          <w:sz w:val="18"/>
          <w:szCs w:val="18"/>
        </w:rPr>
        <w:t xml:space="preserve">. </w:t>
      </w:r>
      <w:hyperlink r:id="rId10" w:history="1">
        <w:r w:rsidRPr="002716EF">
          <w:rPr>
            <w:rStyle w:val="Hyperlink"/>
            <w:rFonts w:ascii="Century Gothic" w:hAnsi="Century Gothic"/>
            <w:color w:val="A7A7A7" w:themeColor="text2"/>
            <w:sz w:val="18"/>
            <w:szCs w:val="18"/>
            <w:shd w:val="clear" w:color="auto" w:fill="FFFFFF"/>
          </w:rPr>
          <w:t>https://wherecalgary.ca/2024/12/19/free-things-to-do-in-calgary/</w:t>
        </w:r>
      </w:hyperlink>
    </w:p>
    <w:p w14:paraId="3D7A2F35" w14:textId="77777777" w:rsidR="002716EF" w:rsidRDefault="002716EF" w:rsidP="00B6194E">
      <w:pPr>
        <w:pStyle w:val="Default"/>
        <w:rPr>
          <w:rFonts w:ascii="Century Gothic" w:hAnsi="Century Gothic"/>
          <w:b/>
          <w:bCs/>
          <w:color w:val="808080"/>
          <w:spacing w:val="80"/>
          <w:sz w:val="48"/>
          <w:szCs w:val="48"/>
          <w:u w:color="808080"/>
        </w:rPr>
      </w:pPr>
    </w:p>
    <w:p w14:paraId="1DD4FE4D" w14:textId="21ECADD2" w:rsidR="00D87660" w:rsidRPr="00B6194E" w:rsidRDefault="00773BF8" w:rsidP="00B6194E">
      <w:pPr>
        <w:pStyle w:val="Default"/>
        <w:rPr>
          <w:rFonts w:ascii="Century Gothic" w:hAnsi="Century Gothic"/>
          <w:color w:val="A5A6B7"/>
          <w:sz w:val="20"/>
          <w:szCs w:val="20"/>
          <w:shd w:val="clear" w:color="auto" w:fill="FFFFFF"/>
        </w:rPr>
      </w:pPr>
      <w:r>
        <w:rPr>
          <w:rFonts w:ascii="Century Gothic" w:hAnsi="Century Gothic"/>
          <w:b/>
          <w:bCs/>
          <w:color w:val="808080"/>
          <w:spacing w:val="80"/>
          <w:sz w:val="48"/>
          <w:szCs w:val="48"/>
          <w:u w:color="808080"/>
        </w:rPr>
        <w:t>Wit</w:t>
      </w:r>
    </w:p>
    <w:p w14:paraId="5965E0D0" w14:textId="1AED4E7E" w:rsidR="001E52C2" w:rsidRDefault="00773BF8" w:rsidP="00875DCC">
      <w:pPr>
        <w:pStyle w:val="Body"/>
        <w:spacing w:line="276" w:lineRule="auto"/>
        <w:rPr>
          <w:rFonts w:ascii="Century Gothic" w:hAnsi="Century Gothic"/>
          <w:i/>
          <w:iCs/>
          <w:color w:val="808080"/>
          <w:spacing w:val="65"/>
          <w:sz w:val="22"/>
          <w:szCs w:val="22"/>
          <w:u w:color="808080"/>
          <w:lang w:val="en-US"/>
        </w:rPr>
      </w:pPr>
      <w:r>
        <w:rPr>
          <w:rFonts w:ascii="Century Gothic" w:eastAsia="Century Gothic" w:hAnsi="Century Gothic" w:cs="Century Gothic"/>
          <w:b/>
          <w:bCs/>
          <w:noProof/>
          <w:sz w:val="22"/>
          <w:szCs w:val="22"/>
        </w:rPr>
        <w:drawing>
          <wp:inline distT="0" distB="0" distL="0" distR="0" wp14:anchorId="369175E5" wp14:editId="05649AA7">
            <wp:extent cx="6794500" cy="65406"/>
            <wp:effectExtent l="0" t="0" r="0" b="0"/>
            <wp:docPr id="1073741834" name="officeArt object" descr="image1.png"/>
            <wp:cNvGraphicFramePr/>
            <a:graphic xmlns:a="http://schemas.openxmlformats.org/drawingml/2006/main">
              <a:graphicData uri="http://schemas.openxmlformats.org/drawingml/2006/picture">
                <pic:pic xmlns:pic="http://schemas.openxmlformats.org/drawingml/2006/picture">
                  <pic:nvPicPr>
                    <pic:cNvPr id="1073741834" name="image1.png" descr="image1.png"/>
                    <pic:cNvPicPr>
                      <a:picLocks noChangeAspect="1"/>
                    </pic:cNvPicPr>
                  </pic:nvPicPr>
                  <pic:blipFill>
                    <a:blip r:embed="rId8"/>
                    <a:stretch>
                      <a:fillRect/>
                    </a:stretch>
                  </pic:blipFill>
                  <pic:spPr>
                    <a:xfrm>
                      <a:off x="0" y="0"/>
                      <a:ext cx="6794500" cy="65406"/>
                    </a:xfrm>
                    <a:prstGeom prst="rect">
                      <a:avLst/>
                    </a:prstGeom>
                    <a:ln w="12700" cap="flat">
                      <a:noFill/>
                      <a:miter lim="400000"/>
                    </a:ln>
                    <a:effectLst/>
                  </pic:spPr>
                </pic:pic>
              </a:graphicData>
            </a:graphic>
          </wp:inline>
        </w:drawing>
      </w:r>
      <w:r>
        <w:rPr>
          <w:rFonts w:ascii="Century Gothic" w:hAnsi="Century Gothic"/>
          <w:color w:val="808080"/>
          <w:sz w:val="28"/>
          <w:szCs w:val="28"/>
          <w:u w:color="808080"/>
          <w:lang w:val="en-US"/>
        </w:rPr>
        <w:t>“</w:t>
      </w:r>
      <w:r w:rsidR="00431996">
        <w:rPr>
          <w:rFonts w:ascii="Century Gothic" w:hAnsi="Century Gothic"/>
          <w:color w:val="808080"/>
          <w:sz w:val="28"/>
          <w:szCs w:val="28"/>
          <w:u w:color="808080"/>
          <w:lang w:val="en-US"/>
        </w:rPr>
        <w:t>A lot of people like snow.  I find it to be an unnecessary freezing of water</w:t>
      </w:r>
      <w:r w:rsidR="00B34060" w:rsidRPr="00B34060">
        <w:rPr>
          <w:rFonts w:ascii="Century Gothic" w:hAnsi="Century Gothic"/>
          <w:color w:val="808080"/>
          <w:sz w:val="28"/>
          <w:szCs w:val="28"/>
          <w:u w:color="808080"/>
          <w:lang w:val="en-US"/>
        </w:rPr>
        <w:t>."</w:t>
      </w:r>
      <w:r w:rsidR="001C1764">
        <w:rPr>
          <w:rFonts w:ascii="Century Gothic" w:hAnsi="Century Gothic"/>
          <w:color w:val="808080"/>
          <w:sz w:val="28"/>
          <w:szCs w:val="28"/>
          <w:u w:color="808080"/>
          <w:lang w:val="en-US"/>
        </w:rPr>
        <w:t xml:space="preserve"> </w:t>
      </w:r>
      <w:r>
        <w:rPr>
          <w:rFonts w:ascii="Century Gothic" w:hAnsi="Century Gothic"/>
          <w:color w:val="808080"/>
          <w:sz w:val="28"/>
          <w:szCs w:val="28"/>
          <w:u w:color="808080"/>
          <w:lang w:val="en-US"/>
        </w:rPr>
        <w:t xml:space="preserve">- </w:t>
      </w:r>
      <w:r w:rsidR="00431996">
        <w:rPr>
          <w:rFonts w:ascii="Century Gothic" w:hAnsi="Century Gothic"/>
          <w:i/>
          <w:iCs/>
          <w:color w:val="808080"/>
          <w:spacing w:val="65"/>
          <w:sz w:val="22"/>
          <w:szCs w:val="22"/>
          <w:u w:color="808080"/>
          <w:lang w:val="en-US"/>
        </w:rPr>
        <w:t>Carl Reiner</w:t>
      </w:r>
    </w:p>
    <w:p w14:paraId="1DE3D6E5" w14:textId="77777777" w:rsidR="002716EF" w:rsidRPr="002716EF" w:rsidRDefault="002716EF" w:rsidP="00875DCC">
      <w:pPr>
        <w:pStyle w:val="Body"/>
        <w:spacing w:line="276" w:lineRule="auto"/>
        <w:rPr>
          <w:rFonts w:ascii="Century Gothic" w:hAnsi="Century Gothic"/>
          <w:i/>
          <w:iCs/>
          <w:color w:val="808080"/>
          <w:spacing w:val="65"/>
          <w:sz w:val="22"/>
          <w:szCs w:val="22"/>
          <w:u w:color="808080"/>
          <w:lang w:val="en-US"/>
        </w:rPr>
      </w:pPr>
    </w:p>
    <w:p w14:paraId="2C173823" w14:textId="370B0666" w:rsidR="004452AA" w:rsidRDefault="00431996" w:rsidP="00B34060">
      <w:pPr>
        <w:pStyle w:val="Body"/>
        <w:jc w:val="center"/>
        <w:rPr>
          <w:rFonts w:ascii="Century Gothic" w:eastAsia="Century Gothic" w:hAnsi="Century Gothic" w:cs="Century Gothic"/>
          <w:b/>
          <w:bCs/>
          <w:noProof/>
          <w:color w:val="808080"/>
          <w:spacing w:val="80"/>
          <w:sz w:val="22"/>
          <w:szCs w:val="22"/>
          <w:u w:color="808080"/>
          <w:lang w:val="en-US"/>
        </w:rPr>
      </w:pPr>
      <w:r>
        <w:rPr>
          <w:rFonts w:ascii="Century Gothic" w:eastAsia="Century Gothic" w:hAnsi="Century Gothic" w:cs="Century Gothic"/>
          <w:b/>
          <w:bCs/>
          <w:noProof/>
          <w:color w:val="808080"/>
          <w:spacing w:val="80"/>
          <w:sz w:val="22"/>
          <w:szCs w:val="22"/>
          <w:u w:color="808080"/>
          <w:lang w:val="en-US"/>
        </w:rPr>
        <w:drawing>
          <wp:inline distT="0" distB="0" distL="0" distR="0" wp14:anchorId="35941F4B" wp14:editId="013425EF">
            <wp:extent cx="3646800" cy="2602800"/>
            <wp:effectExtent l="0" t="0" r="0" b="7620"/>
            <wp:docPr id="206059233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646800" cy="2602800"/>
                    </a:xfrm>
                    <a:prstGeom prst="rect">
                      <a:avLst/>
                    </a:prstGeom>
                    <a:noFill/>
                  </pic:spPr>
                </pic:pic>
              </a:graphicData>
            </a:graphic>
          </wp:inline>
        </w:drawing>
      </w:r>
    </w:p>
    <w:p w14:paraId="6E7C79A5" w14:textId="6B2AAE77" w:rsidR="00D87660" w:rsidRDefault="003B22D5">
      <w:pPr>
        <w:pStyle w:val="Body"/>
        <w:rPr>
          <w:rFonts w:ascii="Century Gothic" w:eastAsia="Century Gothic" w:hAnsi="Century Gothic" w:cs="Century Gothic"/>
          <w:b/>
          <w:bCs/>
          <w:color w:val="808080"/>
          <w:spacing w:val="80"/>
          <w:sz w:val="22"/>
          <w:szCs w:val="22"/>
          <w:u w:color="808080"/>
          <w:lang w:val="en-US"/>
        </w:rPr>
      </w:pPr>
      <w:r>
        <w:rPr>
          <w:rFonts w:ascii="Century Gothic" w:hAnsi="Century Gothic"/>
          <w:b/>
          <w:bCs/>
          <w:color w:val="808080"/>
          <w:spacing w:val="80"/>
          <w:sz w:val="48"/>
          <w:szCs w:val="48"/>
          <w:u w:color="808080"/>
          <w:lang w:val="en-US"/>
        </w:rPr>
        <w:lastRenderedPageBreak/>
        <w:t>Noteworthy</w:t>
      </w:r>
    </w:p>
    <w:p w14:paraId="3853A9AD" w14:textId="77777777" w:rsidR="00D87660" w:rsidRDefault="00773BF8">
      <w:pPr>
        <w:pStyle w:val="Body"/>
        <w:spacing w:line="276" w:lineRule="auto"/>
        <w:rPr>
          <w:rFonts w:ascii="Century Gothic" w:eastAsia="Century Gothic" w:hAnsi="Century Gothic" w:cs="Century Gothic"/>
        </w:rPr>
      </w:pPr>
      <w:r>
        <w:rPr>
          <w:rFonts w:ascii="Century Gothic" w:eastAsia="Century Gothic" w:hAnsi="Century Gothic" w:cs="Century Gothic"/>
          <w:noProof/>
          <w:sz w:val="22"/>
          <w:szCs w:val="22"/>
        </w:rPr>
        <w:drawing>
          <wp:inline distT="0" distB="0" distL="0" distR="0" wp14:anchorId="44FA28CA" wp14:editId="4BFBAB91">
            <wp:extent cx="6794500" cy="65406"/>
            <wp:effectExtent l="0" t="0" r="0" b="0"/>
            <wp:docPr id="1073741836" name="officeArt object" descr="image1.png"/>
            <wp:cNvGraphicFramePr/>
            <a:graphic xmlns:a="http://schemas.openxmlformats.org/drawingml/2006/main">
              <a:graphicData uri="http://schemas.openxmlformats.org/drawingml/2006/picture">
                <pic:pic xmlns:pic="http://schemas.openxmlformats.org/drawingml/2006/picture">
                  <pic:nvPicPr>
                    <pic:cNvPr id="1073741836" name="image1.png" descr="image1.png"/>
                    <pic:cNvPicPr>
                      <a:picLocks noChangeAspect="1"/>
                    </pic:cNvPicPr>
                  </pic:nvPicPr>
                  <pic:blipFill>
                    <a:blip r:embed="rId8"/>
                    <a:stretch>
                      <a:fillRect/>
                    </a:stretch>
                  </pic:blipFill>
                  <pic:spPr>
                    <a:xfrm>
                      <a:off x="0" y="0"/>
                      <a:ext cx="6794500" cy="65406"/>
                    </a:xfrm>
                    <a:prstGeom prst="rect">
                      <a:avLst/>
                    </a:prstGeom>
                    <a:ln w="12700" cap="flat">
                      <a:noFill/>
                      <a:miter lim="400000"/>
                    </a:ln>
                    <a:effectLst/>
                  </pic:spPr>
                </pic:pic>
              </a:graphicData>
            </a:graphic>
          </wp:inline>
        </w:drawing>
      </w:r>
    </w:p>
    <w:p w14:paraId="7CA119B3" w14:textId="735BDDB1" w:rsidR="00D87660" w:rsidRDefault="00773BF8">
      <w:pPr>
        <w:pStyle w:val="Body"/>
        <w:rPr>
          <w:rFonts w:ascii="Century Gothic" w:eastAsia="Century Gothic" w:hAnsi="Century Gothic" w:cs="Century Gothic"/>
          <w:i/>
          <w:iCs/>
          <w:color w:val="808080"/>
          <w:spacing w:val="66"/>
          <w:sz w:val="22"/>
          <w:szCs w:val="22"/>
          <w:u w:color="808080"/>
          <w:lang w:val="en-US"/>
        </w:rPr>
      </w:pPr>
      <w:r>
        <w:rPr>
          <w:rFonts w:ascii="Century Gothic" w:hAnsi="Century Gothic"/>
          <w:color w:val="808080"/>
          <w:sz w:val="28"/>
          <w:szCs w:val="28"/>
          <w:u w:color="808080"/>
          <w:lang w:val="en-US"/>
        </w:rPr>
        <w:t>“</w:t>
      </w:r>
      <w:r w:rsidR="004F12AC">
        <w:rPr>
          <w:rFonts w:ascii="Century Gothic" w:hAnsi="Century Gothic"/>
          <w:color w:val="808080"/>
          <w:sz w:val="28"/>
          <w:szCs w:val="28"/>
          <w:u w:color="808080"/>
          <w:lang w:val="en-US"/>
        </w:rPr>
        <w:t>The end of the year is a time to remember every lesson learned and laugh shared</w:t>
      </w:r>
      <w:r>
        <w:rPr>
          <w:rFonts w:ascii="Century Gothic" w:hAnsi="Century Gothic"/>
          <w:color w:val="808080"/>
          <w:sz w:val="28"/>
          <w:szCs w:val="28"/>
          <w:u w:color="808080"/>
          <w:lang w:val="en-US"/>
        </w:rPr>
        <w:t xml:space="preserve">.” </w:t>
      </w:r>
      <w:r w:rsidR="002716EF">
        <w:rPr>
          <w:rFonts w:ascii="Century Gothic" w:hAnsi="Century Gothic"/>
          <w:i/>
          <w:iCs/>
          <w:color w:val="808080"/>
          <w:spacing w:val="84"/>
          <w:sz w:val="28"/>
          <w:szCs w:val="28"/>
          <w:u w:color="808080"/>
          <w:lang w:val="en-US"/>
        </w:rPr>
        <w:t>-</w:t>
      </w:r>
      <w:r w:rsidR="00EF0D1A">
        <w:rPr>
          <w:rFonts w:ascii="Century Gothic" w:hAnsi="Century Gothic"/>
          <w:i/>
          <w:iCs/>
          <w:color w:val="808080"/>
          <w:spacing w:val="72"/>
          <w:u w:color="808080"/>
          <w:lang w:val="en-US"/>
        </w:rPr>
        <w:t>unknown</w:t>
      </w:r>
    </w:p>
    <w:p w14:paraId="4B63EFA6" w14:textId="77777777" w:rsidR="00D87660" w:rsidRDefault="00D87660">
      <w:pPr>
        <w:pStyle w:val="Body"/>
        <w:spacing w:line="288" w:lineRule="auto"/>
        <w:rPr>
          <w:rFonts w:ascii="Century Gothic" w:eastAsia="Century Gothic" w:hAnsi="Century Gothic" w:cs="Century Gothic"/>
          <w:color w:val="808080"/>
          <w:spacing w:val="80"/>
          <w:sz w:val="22"/>
          <w:szCs w:val="22"/>
          <w:u w:color="808080"/>
          <w:lang w:val="fr-FR"/>
        </w:rPr>
      </w:pPr>
    </w:p>
    <w:p w14:paraId="53ED8473" w14:textId="4753B12C" w:rsidR="00D87660" w:rsidRPr="00604528" w:rsidRDefault="00604528">
      <w:pPr>
        <w:pStyle w:val="Body"/>
        <w:spacing w:line="288" w:lineRule="auto"/>
        <w:rPr>
          <w:rFonts w:ascii="Century Gothic" w:eastAsia="Century Gothic" w:hAnsi="Century Gothic" w:cs="Century Gothic"/>
          <w:color w:val="535353"/>
          <w:sz w:val="18"/>
          <w:szCs w:val="18"/>
          <w:u w:color="808080"/>
          <w:lang w:val="en-US"/>
        </w:rPr>
      </w:pPr>
      <w:r w:rsidRPr="00604528">
        <w:rPr>
          <w:rFonts w:ascii="Century Gothic" w:hAnsi="Century Gothic"/>
          <w:b/>
          <w:bCs/>
          <w:color w:val="535353"/>
          <w:sz w:val="30"/>
          <w:szCs w:val="30"/>
          <w:u w:color="808080"/>
          <w:lang w:val="en-US"/>
        </w:rPr>
        <w:t>Year in Review: Tariffs, Tech, Rates and More</w:t>
      </w:r>
      <w:r>
        <w:rPr>
          <w:rFonts w:ascii="Century Gothic" w:hAnsi="Century Gothic"/>
          <w:b/>
          <w:bCs/>
          <w:color w:val="535353"/>
          <w:sz w:val="30"/>
          <w:szCs w:val="30"/>
          <w:u w:color="808080"/>
          <w:lang w:val="en-US"/>
        </w:rPr>
        <w:t xml:space="preserve"> </w:t>
      </w:r>
      <w:r w:rsidR="001D1537" w:rsidRPr="00604528">
        <w:rPr>
          <w:rFonts w:ascii="Century Gothic" w:hAnsi="Century Gothic"/>
          <w:b/>
          <w:bCs/>
          <w:color w:val="535353"/>
          <w:sz w:val="16"/>
          <w:szCs w:val="16"/>
          <w:u w:color="808080"/>
          <w:lang w:val="en-US"/>
        </w:rPr>
        <w:t>-</w:t>
      </w:r>
      <w:r w:rsidR="00E91122" w:rsidRPr="00604528">
        <w:rPr>
          <w:rFonts w:ascii="Century Gothic" w:hAnsi="Century Gothic"/>
          <w:b/>
          <w:bCs/>
          <w:color w:val="535353"/>
          <w:sz w:val="16"/>
          <w:szCs w:val="16"/>
          <w:u w:color="808080"/>
          <w:lang w:val="en-US"/>
        </w:rPr>
        <w:t xml:space="preserve"> </w:t>
      </w:r>
      <w:r w:rsidRPr="00604528">
        <w:rPr>
          <w:rFonts w:ascii="Century Gothic" w:hAnsi="Century Gothic"/>
          <w:color w:val="535353"/>
          <w:spacing w:val="77"/>
          <w:sz w:val="16"/>
          <w:szCs w:val="16"/>
          <w:u w:color="808080"/>
          <w:lang w:val="en-US"/>
        </w:rPr>
        <w:t>The Inspired Investor Team</w:t>
      </w:r>
      <w:r>
        <w:rPr>
          <w:rFonts w:ascii="Century Gothic" w:hAnsi="Century Gothic"/>
          <w:color w:val="535353"/>
          <w:spacing w:val="77"/>
          <w:sz w:val="16"/>
          <w:szCs w:val="16"/>
          <w:u w:color="808080"/>
          <w:lang w:val="en-US"/>
        </w:rPr>
        <w:t xml:space="preserve">  </w:t>
      </w:r>
    </w:p>
    <w:p w14:paraId="4073C860" w14:textId="77777777" w:rsidR="002716EF" w:rsidRDefault="002716EF" w:rsidP="002716EF">
      <w:pPr>
        <w:pStyle w:val="Body"/>
        <w:rPr>
          <w:rFonts w:ascii="Century Gothic" w:hAnsi="Century Gothic"/>
          <w:i/>
          <w:iCs/>
          <w:color w:val="535353"/>
          <w:sz w:val="16"/>
          <w:szCs w:val="16"/>
          <w:u w:color="808080"/>
          <w:lang w:val="en-US"/>
        </w:rPr>
      </w:pPr>
      <w:r>
        <w:rPr>
          <w:rFonts w:ascii="Century Gothic" w:hAnsi="Century Gothic"/>
          <w:i/>
          <w:iCs/>
          <w:color w:val="535353"/>
          <w:sz w:val="16"/>
          <w:szCs w:val="16"/>
          <w:u w:color="808080"/>
          <w:lang w:val="en-US"/>
        </w:rPr>
        <w:t xml:space="preserve">Under 8 </w:t>
      </w:r>
      <w:r w:rsidRPr="00820122">
        <w:rPr>
          <w:rFonts w:ascii="Century Gothic" w:hAnsi="Century Gothic"/>
          <w:i/>
          <w:iCs/>
          <w:color w:val="535353"/>
          <w:sz w:val="16"/>
          <w:szCs w:val="16"/>
          <w:u w:color="808080"/>
          <w:lang w:val="en-US"/>
        </w:rPr>
        <w:t>min read</w:t>
      </w:r>
    </w:p>
    <w:p w14:paraId="2AD80808" w14:textId="4B1A0662" w:rsidR="00604528" w:rsidRPr="002716EF" w:rsidRDefault="00604528" w:rsidP="002716EF">
      <w:pPr>
        <w:pStyle w:val="Body"/>
        <w:rPr>
          <w:rFonts w:ascii="Century Gothic" w:hAnsi="Century Gothic"/>
          <w:i/>
          <w:iCs/>
          <w:color w:val="535353"/>
          <w:sz w:val="16"/>
          <w:szCs w:val="16"/>
          <w:u w:color="808080"/>
          <w:lang w:val="en-US"/>
        </w:rPr>
      </w:pPr>
      <w:r w:rsidRPr="00604528">
        <w:rPr>
          <w:rFonts w:ascii="Century Gothic" w:hAnsi="Century Gothic"/>
          <w:color w:val="535353"/>
          <w:sz w:val="22"/>
          <w:szCs w:val="22"/>
          <w:lang w:val="en-US"/>
        </w:rPr>
        <w:t>As the saying goes, there are two guarantees in life, death and taxes, but we may add one more to the list: that markets are never dull, at least within a given year. By that measure, 2025 is sure to be memorable. Global trade shifted with the stroke of a pen, artificial intelligence sent investors on a thrill ride and gold quietly ended up being the year’s top-performing asset class (so far, at least).</w:t>
      </w:r>
    </w:p>
    <w:p w14:paraId="3CB8F7AB" w14:textId="77777777" w:rsidR="00604528" w:rsidRPr="00604528" w:rsidRDefault="00604528" w:rsidP="00604528">
      <w:pPr>
        <w:pStyle w:val="Body"/>
        <w:jc w:val="both"/>
        <w:rPr>
          <w:rFonts w:ascii="Century Gothic" w:hAnsi="Century Gothic"/>
          <w:color w:val="535353"/>
          <w:sz w:val="22"/>
          <w:szCs w:val="22"/>
          <w:lang w:val="en-US"/>
        </w:rPr>
      </w:pPr>
    </w:p>
    <w:p w14:paraId="1F023004" w14:textId="77777777" w:rsidR="00604528" w:rsidRPr="00604528" w:rsidRDefault="00604528" w:rsidP="00604528">
      <w:pPr>
        <w:pStyle w:val="Body"/>
        <w:jc w:val="both"/>
        <w:rPr>
          <w:rFonts w:ascii="Century Gothic" w:hAnsi="Century Gothic"/>
          <w:color w:val="535353"/>
          <w:sz w:val="22"/>
          <w:szCs w:val="22"/>
          <w:lang w:val="en-US"/>
        </w:rPr>
      </w:pPr>
      <w:r w:rsidRPr="00604528">
        <w:rPr>
          <w:rFonts w:ascii="Century Gothic" w:hAnsi="Century Gothic"/>
          <w:color w:val="535353"/>
          <w:sz w:val="22"/>
          <w:szCs w:val="22"/>
          <w:lang w:val="en-US"/>
        </w:rPr>
        <w:t xml:space="preserve">Here's a look back at some of the major stories of 2025, plus some </w:t>
      </w:r>
      <w:proofErr w:type="gramStart"/>
      <w:r w:rsidRPr="00604528">
        <w:rPr>
          <w:rFonts w:ascii="Century Gothic" w:hAnsi="Century Gothic"/>
          <w:color w:val="535353"/>
          <w:sz w:val="22"/>
          <w:szCs w:val="22"/>
          <w:lang w:val="en-US"/>
        </w:rPr>
        <w:t>lessons</w:t>
      </w:r>
      <w:proofErr w:type="gramEnd"/>
      <w:r w:rsidRPr="00604528">
        <w:rPr>
          <w:rFonts w:ascii="Century Gothic" w:hAnsi="Century Gothic"/>
          <w:color w:val="535353"/>
          <w:sz w:val="22"/>
          <w:szCs w:val="22"/>
          <w:lang w:val="en-US"/>
        </w:rPr>
        <w:t xml:space="preserve"> investors can take into the New Year.</w:t>
      </w:r>
    </w:p>
    <w:p w14:paraId="31F8DB93" w14:textId="77777777" w:rsidR="00604528" w:rsidRPr="00604528" w:rsidRDefault="00604528" w:rsidP="00604528">
      <w:pPr>
        <w:pStyle w:val="Body"/>
        <w:jc w:val="both"/>
        <w:rPr>
          <w:rFonts w:ascii="Century Gothic" w:hAnsi="Century Gothic"/>
          <w:color w:val="535353"/>
          <w:sz w:val="22"/>
          <w:szCs w:val="22"/>
          <w:lang w:val="en-US"/>
        </w:rPr>
      </w:pPr>
    </w:p>
    <w:p w14:paraId="330C733D" w14:textId="77777777" w:rsidR="00604528" w:rsidRPr="002716EF" w:rsidRDefault="00604528" w:rsidP="00604528">
      <w:pPr>
        <w:pStyle w:val="Body"/>
        <w:jc w:val="both"/>
        <w:rPr>
          <w:rFonts w:ascii="Century Gothic" w:hAnsi="Century Gothic"/>
          <w:b/>
          <w:bCs/>
          <w:color w:val="535353"/>
          <w:lang w:val="en-US"/>
        </w:rPr>
      </w:pPr>
      <w:r w:rsidRPr="002716EF">
        <w:rPr>
          <w:rFonts w:ascii="Century Gothic" w:hAnsi="Century Gothic"/>
          <w:b/>
          <w:bCs/>
          <w:color w:val="535353"/>
          <w:lang w:val="en-US"/>
        </w:rPr>
        <w:t xml:space="preserve">Tariffs take </w:t>
      </w:r>
      <w:proofErr w:type="spellStart"/>
      <w:r w:rsidRPr="002716EF">
        <w:rPr>
          <w:rFonts w:ascii="Century Gothic" w:hAnsi="Century Gothic"/>
          <w:b/>
          <w:bCs/>
          <w:color w:val="535353"/>
          <w:lang w:val="en-US"/>
        </w:rPr>
        <w:t>centre</w:t>
      </w:r>
      <w:proofErr w:type="spellEnd"/>
      <w:r w:rsidRPr="002716EF">
        <w:rPr>
          <w:rFonts w:ascii="Century Gothic" w:hAnsi="Century Gothic"/>
          <w:b/>
          <w:bCs/>
          <w:color w:val="535353"/>
          <w:lang w:val="en-US"/>
        </w:rPr>
        <w:t xml:space="preserve"> stage</w:t>
      </w:r>
    </w:p>
    <w:p w14:paraId="7FADC705" w14:textId="77777777" w:rsidR="00604528" w:rsidRPr="00604528" w:rsidRDefault="00604528" w:rsidP="00604528">
      <w:pPr>
        <w:pStyle w:val="Body"/>
        <w:jc w:val="both"/>
        <w:rPr>
          <w:rFonts w:ascii="Century Gothic" w:hAnsi="Century Gothic"/>
          <w:color w:val="535353"/>
          <w:sz w:val="22"/>
          <w:szCs w:val="22"/>
          <w:lang w:val="en-US"/>
        </w:rPr>
      </w:pPr>
      <w:r w:rsidRPr="00604528">
        <w:rPr>
          <w:rFonts w:ascii="Century Gothic" w:hAnsi="Century Gothic"/>
          <w:color w:val="535353"/>
          <w:sz w:val="22"/>
          <w:szCs w:val="22"/>
          <w:lang w:val="en-US"/>
        </w:rPr>
        <w:t xml:space="preserve">At the beginning of the year, most people had no idea how tariffs worked; now we’re all trade policy experts. It all started when U.S. President Donald Trump took office in January, but things really came to a head on April 2 following Trump’s “Liberation Day” event,1 when he announced sweeping tariffs on about 90 countries. Markets took a nosedive,2 and economists worked late into the night to figure out how tariffs would impact the flow of goods and the prices of consumer products. Since then, tariffs have come and gone – and come again (and gone again in some cases). Canada remains without a trade deal though, which has </w:t>
      </w:r>
      <w:proofErr w:type="spellStart"/>
      <w:r w:rsidRPr="00604528">
        <w:rPr>
          <w:rFonts w:ascii="Century Gothic" w:hAnsi="Century Gothic"/>
          <w:color w:val="535353"/>
          <w:sz w:val="22"/>
          <w:szCs w:val="22"/>
          <w:lang w:val="en-US"/>
        </w:rPr>
        <w:t>fuelled</w:t>
      </w:r>
      <w:proofErr w:type="spellEnd"/>
      <w:r w:rsidRPr="00604528">
        <w:rPr>
          <w:rFonts w:ascii="Century Gothic" w:hAnsi="Century Gothic"/>
          <w:color w:val="535353"/>
          <w:sz w:val="22"/>
          <w:szCs w:val="22"/>
          <w:lang w:val="en-US"/>
        </w:rPr>
        <w:t xml:space="preserve"> continuing economic uncertainty.</w:t>
      </w:r>
    </w:p>
    <w:p w14:paraId="48B8FF2E" w14:textId="77777777" w:rsidR="00604528" w:rsidRPr="00604528" w:rsidRDefault="00604528" w:rsidP="00604528">
      <w:pPr>
        <w:pStyle w:val="Body"/>
        <w:jc w:val="both"/>
        <w:rPr>
          <w:rFonts w:ascii="Century Gothic" w:hAnsi="Century Gothic"/>
          <w:color w:val="535353"/>
          <w:sz w:val="22"/>
          <w:szCs w:val="22"/>
          <w:lang w:val="en-US"/>
        </w:rPr>
      </w:pPr>
    </w:p>
    <w:p w14:paraId="7C2264FE" w14:textId="77777777" w:rsidR="00604528" w:rsidRPr="00604528" w:rsidRDefault="00604528" w:rsidP="00604528">
      <w:pPr>
        <w:pStyle w:val="Body"/>
        <w:jc w:val="both"/>
        <w:rPr>
          <w:rFonts w:ascii="Century Gothic" w:hAnsi="Century Gothic"/>
          <w:color w:val="535353"/>
          <w:sz w:val="22"/>
          <w:szCs w:val="22"/>
          <w:lang w:val="en-US"/>
        </w:rPr>
      </w:pPr>
      <w:r w:rsidRPr="002716EF">
        <w:rPr>
          <w:rFonts w:ascii="Century Gothic" w:hAnsi="Century Gothic"/>
          <w:b/>
          <w:bCs/>
          <w:color w:val="535353"/>
          <w:sz w:val="22"/>
          <w:szCs w:val="22"/>
          <w:lang w:val="en-US"/>
        </w:rPr>
        <w:t>Lessons learned:</w:t>
      </w:r>
      <w:r w:rsidRPr="00604528">
        <w:rPr>
          <w:rFonts w:ascii="Century Gothic" w:hAnsi="Century Gothic"/>
          <w:color w:val="535353"/>
          <w:sz w:val="22"/>
          <w:szCs w:val="22"/>
          <w:lang w:val="en-US"/>
        </w:rPr>
        <w:t xml:space="preserve"> One lesson to take away from the tariff induced market shock: do not panic when markets tumble. Between April 2 and April 8, the S&amp;P 500 fell by more than 12 per cent,3 while the S&amp;P/TSX Composite Index dropped by about 11 per cent.4 Since then, the indexes have climbed by 34 per cent and 35 per cent, respectively (as of November 24).5 When markets are uncertain, it can be helpful to focus on long-term goals, instead of reacting to short-term news.</w:t>
      </w:r>
    </w:p>
    <w:p w14:paraId="4E8969F2" w14:textId="77777777" w:rsidR="00604528" w:rsidRPr="00604528" w:rsidRDefault="00604528" w:rsidP="00604528">
      <w:pPr>
        <w:pStyle w:val="Body"/>
        <w:jc w:val="both"/>
        <w:rPr>
          <w:rFonts w:ascii="Century Gothic" w:hAnsi="Century Gothic"/>
          <w:color w:val="535353"/>
          <w:sz w:val="22"/>
          <w:szCs w:val="22"/>
          <w:lang w:val="en-US"/>
        </w:rPr>
      </w:pPr>
    </w:p>
    <w:p w14:paraId="08B2448E" w14:textId="77777777" w:rsidR="00604528" w:rsidRPr="002716EF" w:rsidRDefault="00604528" w:rsidP="00604528">
      <w:pPr>
        <w:pStyle w:val="Body"/>
        <w:jc w:val="both"/>
        <w:rPr>
          <w:rFonts w:ascii="Century Gothic" w:hAnsi="Century Gothic"/>
          <w:b/>
          <w:bCs/>
          <w:color w:val="535353"/>
          <w:lang w:val="en-US"/>
        </w:rPr>
      </w:pPr>
      <w:r w:rsidRPr="002716EF">
        <w:rPr>
          <w:rFonts w:ascii="Century Gothic" w:hAnsi="Century Gothic"/>
          <w:b/>
          <w:bCs/>
          <w:color w:val="535353"/>
          <w:lang w:val="en-US"/>
        </w:rPr>
        <w:t>AI goes big</w:t>
      </w:r>
    </w:p>
    <w:p w14:paraId="39FCB4AF" w14:textId="77777777" w:rsidR="00604528" w:rsidRPr="00604528" w:rsidRDefault="00604528" w:rsidP="00604528">
      <w:pPr>
        <w:pStyle w:val="Body"/>
        <w:jc w:val="both"/>
        <w:rPr>
          <w:rFonts w:ascii="Century Gothic" w:hAnsi="Century Gothic"/>
          <w:color w:val="535353"/>
          <w:sz w:val="22"/>
          <w:szCs w:val="22"/>
          <w:lang w:val="en-US"/>
        </w:rPr>
      </w:pPr>
      <w:r w:rsidRPr="00604528">
        <w:rPr>
          <w:rFonts w:ascii="Century Gothic" w:hAnsi="Century Gothic"/>
          <w:color w:val="535353"/>
          <w:sz w:val="22"/>
          <w:szCs w:val="22"/>
          <w:lang w:val="en-US"/>
        </w:rPr>
        <w:t xml:space="preserve">Another major story was AI, which, you could argue, has come into its own this year. Over the past 12 months, many major technology companies saw their shares climb after announcing significant investments in AI-related infrastructure.6 People have moved beyond discussing the features of ChatGPT, Gemini and other AI programs, and are now considering the potential implications of the technology on society more broadly.7 While the long-term potential of AI is still unclear for many, companies invested an estimated US$580 billion in data </w:t>
      </w:r>
      <w:proofErr w:type="spellStart"/>
      <w:r w:rsidRPr="00604528">
        <w:rPr>
          <w:rFonts w:ascii="Century Gothic" w:hAnsi="Century Gothic"/>
          <w:color w:val="535353"/>
          <w:sz w:val="22"/>
          <w:szCs w:val="22"/>
          <w:lang w:val="en-US"/>
        </w:rPr>
        <w:t>centres</w:t>
      </w:r>
      <w:proofErr w:type="spellEnd"/>
      <w:r w:rsidRPr="00604528">
        <w:rPr>
          <w:rFonts w:ascii="Century Gothic" w:hAnsi="Century Gothic"/>
          <w:color w:val="535353"/>
          <w:sz w:val="22"/>
          <w:szCs w:val="22"/>
          <w:lang w:val="en-US"/>
        </w:rPr>
        <w:t xml:space="preserve"> in 2025 alone – US$40 billion more than what’s being spent on the global oil supply.8</w:t>
      </w:r>
    </w:p>
    <w:p w14:paraId="2EAC60C9" w14:textId="77777777" w:rsidR="00604528" w:rsidRPr="00604528" w:rsidRDefault="00604528" w:rsidP="00604528">
      <w:pPr>
        <w:pStyle w:val="Body"/>
        <w:jc w:val="both"/>
        <w:rPr>
          <w:rFonts w:ascii="Century Gothic" w:hAnsi="Century Gothic"/>
          <w:color w:val="535353"/>
          <w:sz w:val="22"/>
          <w:szCs w:val="22"/>
          <w:lang w:val="en-US"/>
        </w:rPr>
      </w:pPr>
    </w:p>
    <w:p w14:paraId="2609D63D" w14:textId="77777777" w:rsidR="00604528" w:rsidRPr="00604528" w:rsidRDefault="00604528" w:rsidP="00604528">
      <w:pPr>
        <w:pStyle w:val="Body"/>
        <w:jc w:val="both"/>
        <w:rPr>
          <w:rFonts w:ascii="Century Gothic" w:hAnsi="Century Gothic"/>
          <w:color w:val="535353"/>
          <w:sz w:val="22"/>
          <w:szCs w:val="22"/>
          <w:lang w:val="en-US"/>
        </w:rPr>
      </w:pPr>
      <w:r w:rsidRPr="002716EF">
        <w:rPr>
          <w:rFonts w:ascii="Century Gothic" w:hAnsi="Century Gothic"/>
          <w:b/>
          <w:bCs/>
          <w:color w:val="535353"/>
          <w:sz w:val="22"/>
          <w:szCs w:val="22"/>
          <w:lang w:val="en-US"/>
        </w:rPr>
        <w:t>Lesson learned</w:t>
      </w:r>
      <w:r w:rsidRPr="00604528">
        <w:rPr>
          <w:rFonts w:ascii="Century Gothic" w:hAnsi="Century Gothic"/>
          <w:color w:val="535353"/>
          <w:sz w:val="22"/>
          <w:szCs w:val="22"/>
          <w:lang w:val="en-US"/>
        </w:rPr>
        <w:t xml:space="preserve">: There is some healthy debate around whether there’s an AI bubble or not (we suggest listening to this RBC podcast to learn more) – and if you think valuations in the tech sector have been stretched, you might want to consider investing beyond the big names that you hear about all the time. Businesses such as utilities,9 energy producers10 and infrastructure companies11 could benefit </w:t>
      </w:r>
      <w:r w:rsidRPr="00604528">
        <w:rPr>
          <w:rFonts w:ascii="Century Gothic" w:hAnsi="Century Gothic"/>
          <w:color w:val="535353"/>
          <w:sz w:val="22"/>
          <w:szCs w:val="22"/>
          <w:lang w:val="en-US"/>
        </w:rPr>
        <w:lastRenderedPageBreak/>
        <w:t xml:space="preserve">from increased adoption of AI, as could the mining companies that produce the raw materials needed to build that infrastructure. You could also explore different industries that are using AI to boost their workflows, such as healthcare and finance. It’s likely a good idea to do some due diligence, though, as AI is evolving </w:t>
      </w:r>
      <w:proofErr w:type="gramStart"/>
      <w:r w:rsidRPr="00604528">
        <w:rPr>
          <w:rFonts w:ascii="Century Gothic" w:hAnsi="Century Gothic"/>
          <w:color w:val="535353"/>
          <w:sz w:val="22"/>
          <w:szCs w:val="22"/>
          <w:lang w:val="en-US"/>
        </w:rPr>
        <w:t>fairly quickly</w:t>
      </w:r>
      <w:proofErr w:type="gramEnd"/>
      <w:r w:rsidRPr="00604528">
        <w:rPr>
          <w:rFonts w:ascii="Century Gothic" w:hAnsi="Century Gothic"/>
          <w:color w:val="535353"/>
          <w:sz w:val="22"/>
          <w:szCs w:val="22"/>
          <w:lang w:val="en-US"/>
        </w:rPr>
        <w:t>.</w:t>
      </w:r>
    </w:p>
    <w:p w14:paraId="626CA61E" w14:textId="77777777" w:rsidR="00604528" w:rsidRPr="00604528" w:rsidRDefault="00604528" w:rsidP="00604528">
      <w:pPr>
        <w:pStyle w:val="Body"/>
        <w:jc w:val="both"/>
        <w:rPr>
          <w:rFonts w:ascii="Century Gothic" w:hAnsi="Century Gothic"/>
          <w:color w:val="535353"/>
          <w:sz w:val="22"/>
          <w:szCs w:val="22"/>
          <w:lang w:val="en-US"/>
        </w:rPr>
      </w:pPr>
    </w:p>
    <w:p w14:paraId="7D2DC36E" w14:textId="77777777" w:rsidR="00604528" w:rsidRPr="002716EF" w:rsidRDefault="00604528" w:rsidP="00604528">
      <w:pPr>
        <w:pStyle w:val="Body"/>
        <w:jc w:val="both"/>
        <w:rPr>
          <w:rFonts w:ascii="Century Gothic" w:hAnsi="Century Gothic"/>
          <w:b/>
          <w:bCs/>
          <w:color w:val="535353"/>
          <w:lang w:val="en-US"/>
        </w:rPr>
      </w:pPr>
      <w:r w:rsidRPr="002716EF">
        <w:rPr>
          <w:rFonts w:ascii="Century Gothic" w:hAnsi="Century Gothic"/>
          <w:b/>
          <w:bCs/>
          <w:color w:val="535353"/>
          <w:lang w:val="en-US"/>
        </w:rPr>
        <w:t>Gold takes the top spot</w:t>
      </w:r>
    </w:p>
    <w:p w14:paraId="5FAF60CC" w14:textId="77777777" w:rsidR="00604528" w:rsidRPr="00604528" w:rsidRDefault="00604528" w:rsidP="00604528">
      <w:pPr>
        <w:pStyle w:val="Body"/>
        <w:jc w:val="both"/>
        <w:rPr>
          <w:rFonts w:ascii="Century Gothic" w:hAnsi="Century Gothic"/>
          <w:color w:val="535353"/>
          <w:sz w:val="22"/>
          <w:szCs w:val="22"/>
          <w:lang w:val="en-US"/>
        </w:rPr>
      </w:pPr>
      <w:r w:rsidRPr="00604528">
        <w:rPr>
          <w:rFonts w:ascii="Century Gothic" w:hAnsi="Century Gothic"/>
          <w:color w:val="535353"/>
          <w:sz w:val="22"/>
          <w:szCs w:val="22"/>
          <w:lang w:val="en-US"/>
        </w:rPr>
        <w:t>It may not quite be the gold rush of the 1840s, but many investors have sought out the yellow metal this year. In fact, at the time of writing, gold is one of the best-performing asset classes of 2025, rising by 57 per cent12 – far higher than the S&amp;P 500’s 14 per cent year-to-date return. Why? Typically, when there’s some economic uncertainty, which there has been a lot of this year, people invest in the commodity because it’s seen as a safe-haven asset. If the economy collapses, you can still buy goods with gold. It’s also considered a store of value, meaning that it potentially retains its value better than cash. That, coupled with a rising U.S. debt, shifting tariff policies and geopolitical tensions, has caused more people to look at gold as an alternative to the U.S. dollar. (Learn more in our recent story on gold.)</w:t>
      </w:r>
    </w:p>
    <w:p w14:paraId="66216C77" w14:textId="77777777" w:rsidR="00604528" w:rsidRPr="00604528" w:rsidRDefault="00604528" w:rsidP="00604528">
      <w:pPr>
        <w:pStyle w:val="Body"/>
        <w:jc w:val="both"/>
        <w:rPr>
          <w:rFonts w:ascii="Century Gothic" w:hAnsi="Century Gothic"/>
          <w:color w:val="535353"/>
          <w:sz w:val="22"/>
          <w:szCs w:val="22"/>
          <w:lang w:val="en-US"/>
        </w:rPr>
      </w:pPr>
    </w:p>
    <w:p w14:paraId="2B4B02D3" w14:textId="77777777" w:rsidR="00604528" w:rsidRPr="00604528" w:rsidRDefault="00604528" w:rsidP="00604528">
      <w:pPr>
        <w:pStyle w:val="Body"/>
        <w:jc w:val="both"/>
        <w:rPr>
          <w:rFonts w:ascii="Century Gothic" w:hAnsi="Century Gothic"/>
          <w:color w:val="535353"/>
          <w:sz w:val="22"/>
          <w:szCs w:val="22"/>
          <w:lang w:val="en-US"/>
        </w:rPr>
      </w:pPr>
      <w:r w:rsidRPr="002716EF">
        <w:rPr>
          <w:rFonts w:ascii="Century Gothic" w:hAnsi="Century Gothic"/>
          <w:b/>
          <w:bCs/>
          <w:color w:val="535353"/>
          <w:sz w:val="22"/>
          <w:szCs w:val="22"/>
          <w:lang w:val="en-US"/>
        </w:rPr>
        <w:t>Lesson learned:</w:t>
      </w:r>
      <w:r w:rsidRPr="00604528">
        <w:rPr>
          <w:rFonts w:ascii="Century Gothic" w:hAnsi="Century Gothic"/>
          <w:color w:val="535353"/>
          <w:sz w:val="22"/>
          <w:szCs w:val="22"/>
          <w:lang w:val="en-US"/>
        </w:rPr>
        <w:t xml:space="preserve"> The rise of interest in gold could be a reminder about diversification. Owning a mix of asset classes, such as stocks, bonds and gold, could help you take advantage of different market trends within your portfolio. If stocks fall and gold rises, the combination could potentially help offset losses. If everything goes up, you could get a boost from owning an outperforming asset class.</w:t>
      </w:r>
    </w:p>
    <w:p w14:paraId="77B81A36" w14:textId="77777777" w:rsidR="00604528" w:rsidRPr="00604528" w:rsidRDefault="00604528" w:rsidP="00604528">
      <w:pPr>
        <w:pStyle w:val="Body"/>
        <w:jc w:val="both"/>
        <w:rPr>
          <w:rFonts w:ascii="Century Gothic" w:hAnsi="Century Gothic"/>
          <w:color w:val="535353"/>
          <w:sz w:val="22"/>
          <w:szCs w:val="22"/>
          <w:lang w:val="en-US"/>
        </w:rPr>
      </w:pPr>
    </w:p>
    <w:p w14:paraId="6CD28758" w14:textId="77777777" w:rsidR="00604528" w:rsidRPr="002716EF" w:rsidRDefault="00604528" w:rsidP="00604528">
      <w:pPr>
        <w:pStyle w:val="Body"/>
        <w:jc w:val="both"/>
        <w:rPr>
          <w:rFonts w:ascii="Century Gothic" w:hAnsi="Century Gothic"/>
          <w:b/>
          <w:bCs/>
          <w:color w:val="535353"/>
          <w:lang w:val="en-US"/>
        </w:rPr>
      </w:pPr>
      <w:r w:rsidRPr="002716EF">
        <w:rPr>
          <w:rFonts w:ascii="Century Gothic" w:hAnsi="Century Gothic"/>
          <w:b/>
          <w:bCs/>
          <w:color w:val="535353"/>
          <w:lang w:val="en-US"/>
        </w:rPr>
        <w:t>Interest rates drop further</w:t>
      </w:r>
    </w:p>
    <w:p w14:paraId="639F3360" w14:textId="77777777" w:rsidR="00604528" w:rsidRPr="00604528" w:rsidRDefault="00604528" w:rsidP="00604528">
      <w:pPr>
        <w:pStyle w:val="Body"/>
        <w:jc w:val="both"/>
        <w:rPr>
          <w:rFonts w:ascii="Century Gothic" w:hAnsi="Century Gothic"/>
          <w:color w:val="535353"/>
          <w:sz w:val="22"/>
          <w:szCs w:val="22"/>
          <w:lang w:val="en-US"/>
        </w:rPr>
      </w:pPr>
      <w:r w:rsidRPr="00604528">
        <w:rPr>
          <w:rFonts w:ascii="Century Gothic" w:hAnsi="Century Gothic"/>
          <w:color w:val="535353"/>
          <w:sz w:val="22"/>
          <w:szCs w:val="22"/>
          <w:lang w:val="en-US"/>
        </w:rPr>
        <w:t xml:space="preserve">The Bank of Canada (BoC) may have started reducing interest rates in 2024,13 but we saw several more slashes this year, with the overnight rate moving from 3 per cent in January to 2.25 per cent by October. And, after watching the other major central banks cut rates all year, the Federal Reserve got in on the act in September. The BoC has </w:t>
      </w:r>
      <w:proofErr w:type="spellStart"/>
      <w:r w:rsidRPr="00604528">
        <w:rPr>
          <w:rFonts w:ascii="Century Gothic" w:hAnsi="Century Gothic"/>
          <w:color w:val="535353"/>
          <w:sz w:val="22"/>
          <w:szCs w:val="22"/>
          <w:lang w:val="en-US"/>
        </w:rPr>
        <w:t>signalled</w:t>
      </w:r>
      <w:proofErr w:type="spellEnd"/>
      <w:r w:rsidRPr="00604528">
        <w:rPr>
          <w:rFonts w:ascii="Century Gothic" w:hAnsi="Century Gothic"/>
          <w:color w:val="535353"/>
          <w:sz w:val="22"/>
          <w:szCs w:val="22"/>
          <w:lang w:val="en-US"/>
        </w:rPr>
        <w:t xml:space="preserve"> that the tightening cycle could be over,14 provided there are no more economic surprises, while some economists think the Fed could cut a little bit further.15 In any case, markets have generally breathed a sigh of relief, with lower borrowing costs helping to improve housing affordability and corporate balance sheets. While it’s unlikely rates will return to the low levels of the mid-2010s, lower rates have impacted for both equities and bonds.</w:t>
      </w:r>
    </w:p>
    <w:p w14:paraId="6D82E62E" w14:textId="77777777" w:rsidR="00604528" w:rsidRPr="00604528" w:rsidRDefault="00604528" w:rsidP="00604528">
      <w:pPr>
        <w:pStyle w:val="Body"/>
        <w:jc w:val="both"/>
        <w:rPr>
          <w:rFonts w:ascii="Century Gothic" w:hAnsi="Century Gothic"/>
          <w:color w:val="535353"/>
          <w:sz w:val="22"/>
          <w:szCs w:val="22"/>
          <w:lang w:val="en-US"/>
        </w:rPr>
      </w:pPr>
    </w:p>
    <w:p w14:paraId="51C559A9" w14:textId="77777777" w:rsidR="00604528" w:rsidRPr="00604528" w:rsidRDefault="00604528" w:rsidP="00604528">
      <w:pPr>
        <w:pStyle w:val="Body"/>
        <w:jc w:val="both"/>
        <w:rPr>
          <w:rFonts w:ascii="Century Gothic" w:hAnsi="Century Gothic"/>
          <w:color w:val="535353"/>
          <w:sz w:val="22"/>
          <w:szCs w:val="22"/>
          <w:lang w:val="en-US"/>
        </w:rPr>
      </w:pPr>
      <w:r w:rsidRPr="002716EF">
        <w:rPr>
          <w:rFonts w:ascii="Century Gothic" w:hAnsi="Century Gothic"/>
          <w:b/>
          <w:bCs/>
          <w:color w:val="535353"/>
          <w:sz w:val="22"/>
          <w:szCs w:val="22"/>
          <w:lang w:val="en-US"/>
        </w:rPr>
        <w:t>Lesson learned:</w:t>
      </w:r>
      <w:r w:rsidRPr="00604528">
        <w:rPr>
          <w:rFonts w:ascii="Century Gothic" w:hAnsi="Century Gothic"/>
          <w:color w:val="535353"/>
          <w:sz w:val="22"/>
          <w:szCs w:val="22"/>
          <w:lang w:val="en-US"/>
        </w:rPr>
        <w:t xml:space="preserve"> You might want to consider playing the long game. There will likely be moments that will test your fortitude as an investor, but over time headwinds can quietly shift to tailwinds. Trying to guess which way markets will go is next to impossible. Instead of trying to predict central bank moves, you could build a diversified portfolio able to handle both rising and falling rate environments.</w:t>
      </w:r>
    </w:p>
    <w:p w14:paraId="1B0D986A" w14:textId="77777777" w:rsidR="00604528" w:rsidRPr="00604528" w:rsidRDefault="00604528" w:rsidP="00604528">
      <w:pPr>
        <w:pStyle w:val="Body"/>
        <w:jc w:val="both"/>
        <w:rPr>
          <w:rFonts w:ascii="Century Gothic" w:hAnsi="Century Gothic"/>
          <w:color w:val="535353"/>
          <w:sz w:val="22"/>
          <w:szCs w:val="22"/>
          <w:lang w:val="en-US"/>
        </w:rPr>
      </w:pPr>
    </w:p>
    <w:p w14:paraId="739CE32F" w14:textId="77777777" w:rsidR="00604528" w:rsidRPr="002716EF" w:rsidRDefault="00604528" w:rsidP="00604528">
      <w:pPr>
        <w:pStyle w:val="Body"/>
        <w:jc w:val="both"/>
        <w:rPr>
          <w:rFonts w:ascii="Century Gothic" w:hAnsi="Century Gothic"/>
          <w:b/>
          <w:bCs/>
          <w:color w:val="535353"/>
          <w:lang w:val="en-US"/>
        </w:rPr>
      </w:pPr>
      <w:r w:rsidRPr="002716EF">
        <w:rPr>
          <w:rFonts w:ascii="Century Gothic" w:hAnsi="Century Gothic"/>
          <w:b/>
          <w:bCs/>
          <w:color w:val="535353"/>
          <w:lang w:val="en-US"/>
        </w:rPr>
        <w:t>The “Buy Canadian” movement took off</w:t>
      </w:r>
    </w:p>
    <w:p w14:paraId="64C4899E" w14:textId="77777777" w:rsidR="00604528" w:rsidRPr="00604528" w:rsidRDefault="00604528" w:rsidP="00604528">
      <w:pPr>
        <w:pStyle w:val="Body"/>
        <w:jc w:val="both"/>
        <w:rPr>
          <w:rFonts w:ascii="Century Gothic" w:hAnsi="Century Gothic"/>
          <w:color w:val="535353"/>
          <w:sz w:val="22"/>
          <w:szCs w:val="22"/>
          <w:lang w:val="en-US"/>
        </w:rPr>
      </w:pPr>
      <w:r w:rsidRPr="00604528">
        <w:rPr>
          <w:rFonts w:ascii="Century Gothic" w:hAnsi="Century Gothic"/>
          <w:color w:val="535353"/>
          <w:sz w:val="22"/>
          <w:szCs w:val="22"/>
          <w:lang w:val="en-US"/>
        </w:rPr>
        <w:t xml:space="preserve">In early 2025, Canadians incensed by President Trump’s tariff threats decided to fight back with their wallets, kicking off a patriotic shopping trend that’s given some home-grown brands, products and retailers a welcome boost.16 The movement gained momentum throughout the summer as more consumers went “elbows up” and boycotted American goods.17 The </w:t>
      </w:r>
      <w:proofErr w:type="spellStart"/>
      <w:r w:rsidRPr="00604528">
        <w:rPr>
          <w:rFonts w:ascii="Century Gothic" w:hAnsi="Century Gothic"/>
          <w:color w:val="535353"/>
          <w:sz w:val="22"/>
          <w:szCs w:val="22"/>
          <w:lang w:val="en-US"/>
        </w:rPr>
        <w:t>fervour</w:t>
      </w:r>
      <w:proofErr w:type="spellEnd"/>
      <w:r w:rsidRPr="00604528">
        <w:rPr>
          <w:rFonts w:ascii="Century Gothic" w:hAnsi="Century Gothic"/>
          <w:color w:val="535353"/>
          <w:sz w:val="22"/>
          <w:szCs w:val="22"/>
          <w:lang w:val="en-US"/>
        </w:rPr>
        <w:t xml:space="preserve"> has faded somewhat – according to Statistics Canada, only 13.3 per cent of businesses said they sold more Canadian products over the past six months, down from 16 per cent in its previous quarterly survey18 – but many shoppers still plan to buy local this holiday season. Households plan to spend $943 on average, and 59 per cent of that will go towards Canadian products and services, the Business Development Bank of Canada (BDC) recently reported.19 That could mean an $11-billion gift for Canada’s GDP.</w:t>
      </w:r>
    </w:p>
    <w:p w14:paraId="62E062DD" w14:textId="77777777" w:rsidR="00604528" w:rsidRPr="00604528" w:rsidRDefault="00604528" w:rsidP="00604528">
      <w:pPr>
        <w:pStyle w:val="Body"/>
        <w:jc w:val="both"/>
        <w:rPr>
          <w:rFonts w:ascii="Century Gothic" w:hAnsi="Century Gothic"/>
          <w:color w:val="535353"/>
          <w:sz w:val="22"/>
          <w:szCs w:val="22"/>
          <w:lang w:val="en-US"/>
        </w:rPr>
      </w:pPr>
    </w:p>
    <w:p w14:paraId="553DAAC6" w14:textId="77777777" w:rsidR="00604528" w:rsidRPr="00604528" w:rsidRDefault="00604528" w:rsidP="00604528">
      <w:pPr>
        <w:pStyle w:val="Body"/>
        <w:jc w:val="both"/>
        <w:rPr>
          <w:rFonts w:ascii="Century Gothic" w:hAnsi="Century Gothic"/>
          <w:color w:val="535353"/>
          <w:sz w:val="22"/>
          <w:szCs w:val="22"/>
          <w:lang w:val="en-US"/>
        </w:rPr>
      </w:pPr>
      <w:r w:rsidRPr="002716EF">
        <w:rPr>
          <w:rFonts w:ascii="Century Gothic" w:hAnsi="Century Gothic"/>
          <w:b/>
          <w:bCs/>
          <w:color w:val="535353"/>
          <w:sz w:val="22"/>
          <w:szCs w:val="22"/>
          <w:lang w:val="en-US"/>
        </w:rPr>
        <w:t>Lesson learned</w:t>
      </w:r>
      <w:r w:rsidRPr="00604528">
        <w:rPr>
          <w:rFonts w:ascii="Century Gothic" w:hAnsi="Century Gothic"/>
          <w:color w:val="535353"/>
          <w:sz w:val="22"/>
          <w:szCs w:val="22"/>
          <w:lang w:val="en-US"/>
        </w:rPr>
        <w:t xml:space="preserve">: If you want to spend your holiday dollars close to home this year, you now have a wealth of information at your fingertips. From all-Canadian gift guides and websites to social posts tagged #MadeInCanada, shoppers have likely never had more information about where their goods come from. </w:t>
      </w:r>
    </w:p>
    <w:p w14:paraId="39CD5CC0" w14:textId="77777777" w:rsidR="00604528" w:rsidRPr="00604528" w:rsidRDefault="00604528" w:rsidP="00604528">
      <w:pPr>
        <w:pStyle w:val="Body"/>
        <w:jc w:val="both"/>
        <w:rPr>
          <w:rFonts w:ascii="Century Gothic" w:hAnsi="Century Gothic"/>
          <w:color w:val="535353"/>
          <w:sz w:val="22"/>
          <w:szCs w:val="22"/>
          <w:lang w:val="en-US"/>
        </w:rPr>
      </w:pPr>
    </w:p>
    <w:p w14:paraId="166BFE08" w14:textId="77777777" w:rsidR="00604528" w:rsidRPr="002716EF" w:rsidRDefault="00604528" w:rsidP="00604528">
      <w:pPr>
        <w:pStyle w:val="Body"/>
        <w:jc w:val="both"/>
        <w:rPr>
          <w:rFonts w:ascii="Century Gothic" w:hAnsi="Century Gothic"/>
          <w:b/>
          <w:bCs/>
          <w:color w:val="535353"/>
          <w:lang w:val="en-US"/>
        </w:rPr>
      </w:pPr>
      <w:r w:rsidRPr="002716EF">
        <w:rPr>
          <w:rFonts w:ascii="Century Gothic" w:hAnsi="Century Gothic"/>
          <w:b/>
          <w:bCs/>
          <w:color w:val="535353"/>
          <w:lang w:val="en-US"/>
        </w:rPr>
        <w:t>Canadian pro sports teams united the country</w:t>
      </w:r>
    </w:p>
    <w:p w14:paraId="47FD28EF" w14:textId="77777777" w:rsidR="00604528" w:rsidRPr="00604528" w:rsidRDefault="00604528" w:rsidP="00604528">
      <w:pPr>
        <w:pStyle w:val="Body"/>
        <w:jc w:val="both"/>
        <w:rPr>
          <w:rFonts w:ascii="Century Gothic" w:hAnsi="Century Gothic"/>
          <w:color w:val="535353"/>
          <w:sz w:val="22"/>
          <w:szCs w:val="22"/>
          <w:lang w:val="en-US"/>
        </w:rPr>
      </w:pPr>
      <w:r w:rsidRPr="00604528">
        <w:rPr>
          <w:rFonts w:ascii="Century Gothic" w:hAnsi="Century Gothic"/>
          <w:color w:val="535353"/>
          <w:sz w:val="22"/>
          <w:szCs w:val="22"/>
          <w:lang w:val="en-US"/>
        </w:rPr>
        <w:t>Sports fans will remember 2025 as the year two of Canada’s pro sports franchises came this close to winning it all. First, the Edmonton Oilers fought their way to the Stanley Cup finals in May for a rematch against the Florida Panthers. The Panthers may have triumphed once again, but not before countless Canadians got back on the bandwagon to cheer them on. Then, in October, the Toronto Blue Jays ignited a coast-to-coast fan frenzy when they made it to the World Series to battle the Los Angeles Dodgers. (Who else watched all 18 innings of game three?)20 By the time the series reached game seven, roughly one-in-four Canadians21 tuned in to see Canada’s only MLB team come oh-so-close to winning its third championship in franchise history. The consolation prize: the adoration and appreciation of millions of Canadians.</w:t>
      </w:r>
    </w:p>
    <w:p w14:paraId="56184339" w14:textId="77777777" w:rsidR="00604528" w:rsidRPr="00604528" w:rsidRDefault="00604528" w:rsidP="00604528">
      <w:pPr>
        <w:pStyle w:val="Body"/>
        <w:jc w:val="both"/>
        <w:rPr>
          <w:rFonts w:ascii="Century Gothic" w:hAnsi="Century Gothic"/>
          <w:color w:val="535353"/>
          <w:sz w:val="22"/>
          <w:szCs w:val="22"/>
          <w:lang w:val="en-US"/>
        </w:rPr>
      </w:pPr>
    </w:p>
    <w:p w14:paraId="2A10CC18" w14:textId="7BD7B8D8" w:rsidR="00D87660" w:rsidRPr="00EF0D1A" w:rsidRDefault="00604528" w:rsidP="00604528">
      <w:pPr>
        <w:pStyle w:val="Body"/>
        <w:jc w:val="both"/>
        <w:rPr>
          <w:rFonts w:ascii="Century Gothic" w:eastAsia="Century Gothic" w:hAnsi="Century Gothic" w:cs="Century Gothic"/>
          <w:b/>
          <w:bCs/>
          <w:color w:val="535353"/>
        </w:rPr>
      </w:pPr>
      <w:r w:rsidRPr="002716EF">
        <w:rPr>
          <w:rFonts w:ascii="Century Gothic" w:hAnsi="Century Gothic"/>
          <w:b/>
          <w:bCs/>
          <w:color w:val="535353"/>
          <w:sz w:val="22"/>
          <w:szCs w:val="22"/>
          <w:lang w:val="en-US"/>
        </w:rPr>
        <w:t>Lesson learned</w:t>
      </w:r>
      <w:r w:rsidRPr="00604528">
        <w:rPr>
          <w:rFonts w:ascii="Century Gothic" w:hAnsi="Century Gothic"/>
          <w:color w:val="535353"/>
          <w:sz w:val="22"/>
          <w:szCs w:val="22"/>
          <w:lang w:val="en-US"/>
        </w:rPr>
        <w:t>: Getting caught up in a championship run is exciting, but it can also lead to disappointment if the series doesn’t go your way. There’s magic in that kind of collective experience, yet before you jump on that bandwagon, it’s important to be mentally ready for wins and losses. That same principle applies in personal finance and investing. If you feel compelled to buy a stock because it’s rallying or your friends are talking it up in your group chat, ask yourself if you’re paying more attention to the buzz than the strength of the company itself. Otherwise, you risk disappointment if things don’t go as expected.</w:t>
      </w:r>
    </w:p>
    <w:p w14:paraId="61726B57" w14:textId="77777777" w:rsidR="00D87660" w:rsidRDefault="00D87660">
      <w:pPr>
        <w:pStyle w:val="Body"/>
        <w:spacing w:line="288" w:lineRule="auto"/>
        <w:rPr>
          <w:rFonts w:ascii="Century Gothic" w:eastAsia="Century Gothic" w:hAnsi="Century Gothic" w:cs="Century Gothic"/>
          <w:color w:val="535353"/>
          <w:sz w:val="22"/>
          <w:szCs w:val="22"/>
        </w:rPr>
      </w:pPr>
    </w:p>
    <w:p w14:paraId="4FA33136" w14:textId="42A784B1" w:rsidR="00D87660" w:rsidRPr="002716EF" w:rsidRDefault="00604528" w:rsidP="00604528">
      <w:pPr>
        <w:rPr>
          <w:sz w:val="18"/>
          <w:szCs w:val="18"/>
        </w:rPr>
      </w:pPr>
      <w:bookmarkStart w:id="21" w:name="_Hlk218606521"/>
      <w:r w:rsidRPr="002716EF">
        <w:rPr>
          <w:rFonts w:ascii="Helvetica" w:hAnsi="Helvetica" w:cs="Helvetica"/>
          <w:color w:val="A5A6B7"/>
          <w:sz w:val="18"/>
          <w:szCs w:val="18"/>
        </w:rPr>
        <w:t>Republished from RBC Direct Investing. Read the original article.</w:t>
      </w:r>
      <w:bookmarkEnd w:id="21"/>
    </w:p>
    <w:p w14:paraId="1FB735B4" w14:textId="44E8743A" w:rsidR="00D87660" w:rsidRPr="002716EF" w:rsidRDefault="00773BF8" w:rsidP="00604528">
      <w:pPr>
        <w:pStyle w:val="Body"/>
        <w:spacing w:line="276" w:lineRule="auto"/>
        <w:rPr>
          <w:rFonts w:ascii="Century Gothic" w:hAnsi="Century Gothic"/>
          <w:color w:val="A7A7A7" w:themeColor="text2"/>
          <w:sz w:val="18"/>
          <w:szCs w:val="18"/>
        </w:rPr>
      </w:pPr>
      <w:hyperlink r:id="rId12" w:history="1">
        <w:r w:rsidR="00604528" w:rsidRPr="002716EF">
          <w:rPr>
            <w:rStyle w:val="Hyperlink"/>
            <w:rFonts w:ascii="Century Gothic" w:hAnsi="Century Gothic"/>
            <w:color w:val="A7A7A7" w:themeColor="text2"/>
            <w:sz w:val="18"/>
            <w:szCs w:val="18"/>
          </w:rPr>
          <w:t>https://www6.royalbank.com/en/di/hubs/now-and-noteworthy/article/year-in-review/miaiynt8</w:t>
        </w:r>
      </w:hyperlink>
    </w:p>
    <w:p w14:paraId="5C18A18D" w14:textId="77777777" w:rsidR="00604528" w:rsidRPr="00604528" w:rsidRDefault="00604528" w:rsidP="00604528">
      <w:pPr>
        <w:pStyle w:val="Body"/>
        <w:spacing w:line="276" w:lineRule="auto"/>
        <w:rPr>
          <w:sz w:val="22"/>
          <w:szCs w:val="22"/>
        </w:rPr>
      </w:pPr>
    </w:p>
    <w:p w14:paraId="5293F8E1" w14:textId="77777777" w:rsidR="00D87660" w:rsidRDefault="00D87660">
      <w:pPr>
        <w:pStyle w:val="Body"/>
        <w:spacing w:line="276" w:lineRule="auto"/>
        <w:jc w:val="center"/>
      </w:pPr>
    </w:p>
    <w:p w14:paraId="11BFBC50" w14:textId="77777777" w:rsidR="00D87660" w:rsidRDefault="00D87660">
      <w:pPr>
        <w:pStyle w:val="Body"/>
        <w:spacing w:line="276" w:lineRule="auto"/>
        <w:jc w:val="center"/>
      </w:pPr>
    </w:p>
    <w:p w14:paraId="03A8041C" w14:textId="77777777" w:rsidR="00D87660" w:rsidRDefault="00773BF8">
      <w:pPr>
        <w:pStyle w:val="Body"/>
        <w:spacing w:line="276" w:lineRule="auto"/>
        <w:jc w:val="center"/>
        <w:rPr>
          <w:rFonts w:ascii="Century Gothic" w:eastAsia="Century Gothic" w:hAnsi="Century Gothic" w:cs="Century Gothic"/>
        </w:rPr>
      </w:pPr>
      <w:r>
        <w:rPr>
          <w:rFonts w:ascii="Century Gothic" w:hAnsi="Century Gothic"/>
          <w:lang w:val="en-US"/>
        </w:rPr>
        <w:t xml:space="preserve">This information is provided as a courtesy by </w:t>
      </w:r>
    </w:p>
    <w:p w14:paraId="5FB25EBE" w14:textId="77777777" w:rsidR="00D87660" w:rsidRDefault="00D87660">
      <w:pPr>
        <w:pStyle w:val="Body"/>
        <w:spacing w:line="276" w:lineRule="auto"/>
        <w:jc w:val="center"/>
        <w:rPr>
          <w:rFonts w:ascii="Century Gothic" w:eastAsia="Century Gothic" w:hAnsi="Century Gothic" w:cs="Century Gothic"/>
        </w:rPr>
      </w:pPr>
    </w:p>
    <w:p w14:paraId="58E97E2E" w14:textId="77777777" w:rsidR="00D87660" w:rsidRDefault="00773BF8">
      <w:pPr>
        <w:pStyle w:val="Body"/>
        <w:spacing w:after="120" w:line="276" w:lineRule="auto"/>
        <w:jc w:val="center"/>
        <w:rPr>
          <w:rFonts w:ascii="Century Gothic" w:eastAsia="Century Gothic" w:hAnsi="Century Gothic" w:cs="Century Gothic"/>
          <w:b/>
          <w:bCs/>
          <w:spacing w:val="80"/>
          <w:sz w:val="28"/>
          <w:szCs w:val="28"/>
        </w:rPr>
      </w:pPr>
      <w:r>
        <w:rPr>
          <w:rFonts w:ascii="Century Gothic" w:hAnsi="Century Gothic"/>
          <w:b/>
          <w:bCs/>
          <w:spacing w:val="80"/>
          <w:sz w:val="28"/>
          <w:szCs w:val="28"/>
          <w:lang w:val="fr-FR"/>
        </w:rPr>
        <w:t xml:space="preserve">PARTAKER   </w:t>
      </w:r>
    </w:p>
    <w:p w14:paraId="109A9EC7" w14:textId="77777777" w:rsidR="00D87660" w:rsidRDefault="00773BF8">
      <w:pPr>
        <w:pStyle w:val="Body"/>
        <w:spacing w:after="120" w:line="276" w:lineRule="auto"/>
        <w:jc w:val="center"/>
        <w:rPr>
          <w:rFonts w:ascii="Century Gothic" w:eastAsia="Century Gothic" w:hAnsi="Century Gothic" w:cs="Century Gothic"/>
        </w:rPr>
      </w:pPr>
      <w:proofErr w:type="gramStart"/>
      <w:r>
        <w:rPr>
          <w:rFonts w:ascii="Century Gothic" w:hAnsi="Century Gothic"/>
          <w:lang w:val="en-US"/>
        </w:rPr>
        <w:t>Wealth  Management</w:t>
      </w:r>
      <w:proofErr w:type="gramEnd"/>
      <w:r>
        <w:rPr>
          <w:rFonts w:ascii="Century Gothic" w:hAnsi="Century Gothic"/>
          <w:lang w:val="en-US"/>
        </w:rPr>
        <w:t xml:space="preserve"> </w:t>
      </w:r>
    </w:p>
    <w:p w14:paraId="16C9F9A2" w14:textId="77777777" w:rsidR="00D87660" w:rsidRDefault="00773BF8">
      <w:pPr>
        <w:pStyle w:val="Body"/>
        <w:spacing w:line="276" w:lineRule="auto"/>
        <w:jc w:val="center"/>
        <w:rPr>
          <w:rFonts w:ascii="Century Gothic" w:eastAsia="Century Gothic" w:hAnsi="Century Gothic" w:cs="Century Gothic"/>
        </w:rPr>
      </w:pPr>
      <w:proofErr w:type="gramStart"/>
      <w:r>
        <w:rPr>
          <w:rFonts w:ascii="Century Gothic" w:hAnsi="Century Gothic"/>
          <w:lang w:val="en-US"/>
        </w:rPr>
        <w:t>of  RBC</w:t>
      </w:r>
      <w:proofErr w:type="gramEnd"/>
      <w:r>
        <w:rPr>
          <w:rFonts w:ascii="Century Gothic" w:hAnsi="Century Gothic"/>
          <w:lang w:val="en-US"/>
        </w:rPr>
        <w:t xml:space="preserve">  Dominion  Securities</w:t>
      </w:r>
    </w:p>
    <w:p w14:paraId="5D7A7E50" w14:textId="77777777" w:rsidR="00D87660" w:rsidRDefault="00D87660">
      <w:pPr>
        <w:pStyle w:val="Body"/>
        <w:spacing w:line="276" w:lineRule="auto"/>
        <w:jc w:val="center"/>
        <w:rPr>
          <w:rFonts w:ascii="Century Gothic" w:eastAsia="Century Gothic" w:hAnsi="Century Gothic" w:cs="Century Gothic"/>
        </w:rPr>
      </w:pPr>
    </w:p>
    <w:p w14:paraId="3F4CA153" w14:textId="77777777" w:rsidR="00D87660" w:rsidRDefault="00773BF8">
      <w:pPr>
        <w:pStyle w:val="Body"/>
        <w:spacing w:line="276" w:lineRule="auto"/>
        <w:jc w:val="center"/>
        <w:rPr>
          <w:rFonts w:ascii="Century Gothic" w:eastAsia="Century Gothic" w:hAnsi="Century Gothic" w:cs="Century Gothic"/>
          <w:sz w:val="20"/>
          <w:szCs w:val="20"/>
        </w:rPr>
      </w:pPr>
      <w:r>
        <w:rPr>
          <w:rFonts w:ascii="Century Gothic" w:hAnsi="Century Gothic"/>
          <w:sz w:val="20"/>
          <w:szCs w:val="20"/>
          <w:lang w:val="en-US"/>
        </w:rPr>
        <w:t>If you do not wish to receive this biweekly information, please return an email to the sender with "delete" in the subject line.</w:t>
      </w:r>
    </w:p>
    <w:p w14:paraId="79D5B3F5" w14:textId="77777777" w:rsidR="00D87660" w:rsidRDefault="00D87660">
      <w:pPr>
        <w:pStyle w:val="Body"/>
        <w:spacing w:line="276" w:lineRule="auto"/>
        <w:jc w:val="center"/>
        <w:rPr>
          <w:rFonts w:ascii="Century Gothic" w:eastAsia="Century Gothic" w:hAnsi="Century Gothic" w:cs="Century Gothic"/>
        </w:rPr>
      </w:pPr>
    </w:p>
    <w:p w14:paraId="1665B0CC" w14:textId="77777777" w:rsidR="00D87660" w:rsidRDefault="00D87660">
      <w:pPr>
        <w:pStyle w:val="Body"/>
        <w:spacing w:line="276" w:lineRule="auto"/>
        <w:jc w:val="center"/>
        <w:rPr>
          <w:rFonts w:ascii="Century Gothic" w:eastAsia="Century Gothic" w:hAnsi="Century Gothic" w:cs="Century Gothic"/>
          <w:sz w:val="16"/>
          <w:szCs w:val="16"/>
        </w:rPr>
      </w:pPr>
    </w:p>
    <w:p w14:paraId="563C4013" w14:textId="77777777" w:rsidR="00D87660" w:rsidRDefault="00773BF8">
      <w:pPr>
        <w:pStyle w:val="Body"/>
        <w:spacing w:line="276" w:lineRule="auto"/>
        <w:jc w:val="both"/>
        <w:rPr>
          <w:sz w:val="16"/>
          <w:szCs w:val="16"/>
        </w:rPr>
      </w:pPr>
      <w:r>
        <w:rPr>
          <w:sz w:val="16"/>
          <w:szCs w:val="16"/>
          <w:lang w:val="en-US"/>
        </w:rPr>
        <w:t xml:space="preserve">This information is not intended </w:t>
      </w:r>
      <w:proofErr w:type="gramStart"/>
      <w:r>
        <w:rPr>
          <w:sz w:val="16"/>
          <w:szCs w:val="16"/>
          <w:lang w:val="en-US"/>
        </w:rPr>
        <w:t>as</w:t>
      </w:r>
      <w:proofErr w:type="gramEnd"/>
      <w:r>
        <w:rPr>
          <w:sz w:val="16"/>
          <w:szCs w:val="16"/>
          <w:lang w:val="en-US"/>
        </w:rPr>
        <w:t xml:space="preserve"> nor does it constitute tax or legal advice. Readers should consult their own lawyer, accountant or other professional advisor when planning to implement a strategy. This information is not investment advice and should be used only in conjunction with a discussion with your RBC Dominion Securities Inc. Investment Advisor. This will ensure that your own circumstances have been considered properly and that action is taken on the latest available information. The </w:t>
      </w:r>
      <w:r>
        <w:rPr>
          <w:sz w:val="16"/>
          <w:szCs w:val="16"/>
          <w:lang w:val="en-US"/>
        </w:rPr>
        <w:lastRenderedPageBreak/>
        <w:t>information contained herein has been obtaine</w:t>
      </w:r>
      <w:r>
        <w:rPr>
          <w:sz w:val="16"/>
          <w:szCs w:val="16"/>
          <w:lang w:val="en-US"/>
        </w:rPr>
        <w:t>d from sources believed to be reliable at the time obtained but neither RBC Dominion Securities Inc. nor its employees, agents, or information suppliers can guarantee its accuracy or completeness. This report is not and under no circumstances is to be construed as an offer to sell or the solicitation of an offer to buy any securities. This report is furnished on the basis and understanding that neither RBC Dominion Securities Inc. nor its employees, agents, or information suppliers is to be under any respon</w:t>
      </w:r>
      <w:r>
        <w:rPr>
          <w:sz w:val="16"/>
          <w:szCs w:val="16"/>
          <w:lang w:val="en-US"/>
        </w:rPr>
        <w:t xml:space="preserve">sibility or liability whatsoever in respect thereof. The inventories of RBC Dominion Securities Inc. may from time to time include securities mentioned herein. In Quebec, financial planning services are provided by RBC Wealth Management Financial Services Inc. which is licensed as a financial services firm in that province. In the rest of Canada, financial planning services are available through RBC Dominion Securities Inc. This commentary is based on information that is believed to be accurate at the time </w:t>
      </w:r>
      <w:r>
        <w:rPr>
          <w:sz w:val="16"/>
          <w:szCs w:val="16"/>
          <w:lang w:val="en-US"/>
        </w:rPr>
        <w:t xml:space="preserve">of </w:t>
      </w:r>
      <w:proofErr w:type="gramStart"/>
      <w:r>
        <w:rPr>
          <w:sz w:val="16"/>
          <w:szCs w:val="16"/>
          <w:lang w:val="en-US"/>
        </w:rPr>
        <w:t>writing, and</w:t>
      </w:r>
      <w:proofErr w:type="gramEnd"/>
      <w:r>
        <w:rPr>
          <w:sz w:val="16"/>
          <w:szCs w:val="16"/>
          <w:lang w:val="en-US"/>
        </w:rPr>
        <w:t xml:space="preserve"> is subject to change. All opinions and estimates contained in this report constitute RBC Dominion Securities Inc.</w:t>
      </w:r>
      <w:r>
        <w:rPr>
          <w:sz w:val="16"/>
          <w:szCs w:val="16"/>
          <w:rtl/>
        </w:rPr>
        <w:t>’</w:t>
      </w:r>
      <w:r>
        <w:rPr>
          <w:sz w:val="16"/>
          <w:szCs w:val="16"/>
          <w:lang w:val="en-US"/>
        </w:rPr>
        <w:t xml:space="preserve">s judgment as of the date of this report, are subject to change without notice and are provided in good faith but without legal responsibility. Interest rates, market conditions and other investment factors are subject to change. Past performance may not be repeated. The information provided is intended only to illustrate certain historical returns and is not intended to reflect </w:t>
      </w:r>
      <w:r>
        <w:rPr>
          <w:sz w:val="16"/>
          <w:szCs w:val="16"/>
          <w:lang w:val="en-US"/>
        </w:rPr>
        <w:t xml:space="preserve">future values or returns. RBC Dominion Securities Inc. and its affiliates may have an investment banking or other relationship with </w:t>
      </w:r>
      <w:proofErr w:type="gramStart"/>
      <w:r>
        <w:rPr>
          <w:sz w:val="16"/>
          <w:szCs w:val="16"/>
          <w:lang w:val="en-US"/>
        </w:rPr>
        <w:t>some</w:t>
      </w:r>
      <w:proofErr w:type="gramEnd"/>
      <w:r>
        <w:rPr>
          <w:sz w:val="16"/>
          <w:szCs w:val="16"/>
          <w:lang w:val="en-US"/>
        </w:rPr>
        <w:t xml:space="preserve"> or all of the issuers mentioned herein and may trade in any of the securities mentioned herein either for their own account or the accounts of their customers. RBC Dominion Securities Inc. and its affiliates also may issue options on securities mentioned herein and may trade in options issued by others. Accordingly, RBC Dominion Securities Inc. or its affiliates may at any</w:t>
      </w:r>
      <w:r>
        <w:rPr>
          <w:sz w:val="16"/>
          <w:szCs w:val="16"/>
          <w:lang w:val="en-US"/>
        </w:rPr>
        <w:t xml:space="preserve"> time have a long or short position in any such security or option thereon. RBC Dominion Securities Inc.* and Royal Bank of Canada are separate corporate entities which are affiliated. *Member-Canadian Investor Protection Fund. Insurance products are offered through RBC Wealth Management Financial Services Inc., a subsidiary of RBC Dominion Securities Inc. When providing life insurance products in all provinces except Quebec, Investment Advisors are acting as Insurance Representatives of RBC Wealth Manageme</w:t>
      </w:r>
      <w:r>
        <w:rPr>
          <w:sz w:val="16"/>
          <w:szCs w:val="16"/>
          <w:lang w:val="en-US"/>
        </w:rPr>
        <w:t xml:space="preserve">nt Financial Services Inc. In Quebec, Investment Advisors are acting as Financial Security Advisors of RBC Wealth Management Financial Services Inc. RBC Wealth Management Financial Services Inc. is licensed as a financial services firm in the province of Quebec. RBC Dominion Securities Inc. is a member company of RBC Wealth Management, a business segment of Royal Bank of Canada. </w:t>
      </w:r>
      <w:r>
        <w:rPr>
          <w:sz w:val="16"/>
          <w:szCs w:val="16"/>
        </w:rPr>
        <w:t>®</w:t>
      </w:r>
      <w:r>
        <w:rPr>
          <w:sz w:val="16"/>
          <w:szCs w:val="16"/>
          <w:lang w:val="en-US"/>
        </w:rPr>
        <w:t xml:space="preserve">Registered trademarks of Royal Bank of Canada. Used under </w:t>
      </w:r>
      <w:proofErr w:type="spellStart"/>
      <w:r>
        <w:rPr>
          <w:sz w:val="16"/>
          <w:szCs w:val="16"/>
          <w:lang w:val="en-US"/>
        </w:rPr>
        <w:t>licence</w:t>
      </w:r>
      <w:proofErr w:type="spellEnd"/>
      <w:r>
        <w:rPr>
          <w:sz w:val="16"/>
          <w:szCs w:val="16"/>
          <w:lang w:val="en-US"/>
        </w:rPr>
        <w:t xml:space="preserve">. </w:t>
      </w:r>
      <w:r>
        <w:rPr>
          <w:sz w:val="16"/>
          <w:szCs w:val="16"/>
          <w:lang w:val="de-DE"/>
        </w:rPr>
        <w:t xml:space="preserve">© </w:t>
      </w:r>
      <w:r>
        <w:rPr>
          <w:sz w:val="16"/>
          <w:szCs w:val="16"/>
          <w:lang w:val="en-US"/>
        </w:rPr>
        <w:t>2017 Royal Bank of Canada. All rights reserved.</w:t>
      </w:r>
    </w:p>
    <w:p w14:paraId="6072FB0F" w14:textId="77777777" w:rsidR="00D87660" w:rsidRDefault="00D87660">
      <w:pPr>
        <w:pStyle w:val="Body"/>
        <w:spacing w:line="276" w:lineRule="auto"/>
        <w:jc w:val="center"/>
      </w:pPr>
    </w:p>
    <w:sectPr w:rsidR="00D87660" w:rsidSect="00EF0D1A">
      <w:headerReference w:type="default" r:id="rId13"/>
      <w:footerReference w:type="default" r:id="rId14"/>
      <w:headerReference w:type="first" r:id="rId15"/>
      <w:footerReference w:type="first" r:id="rId16"/>
      <w:type w:val="continuous"/>
      <w:pgSz w:w="12240" w:h="15840"/>
      <w:pgMar w:top="720" w:right="720" w:bottom="720" w:left="720"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415349" w14:textId="77777777" w:rsidR="002F2952" w:rsidRDefault="002F2952">
      <w:r>
        <w:separator/>
      </w:r>
    </w:p>
  </w:endnote>
  <w:endnote w:type="continuationSeparator" w:id="0">
    <w:p w14:paraId="6E69124F" w14:textId="77777777" w:rsidR="002F2952" w:rsidRDefault="002F29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altName w:val="Arial"/>
    <w:panose1 w:val="020B0604020202020204"/>
    <w:charset w:val="00"/>
    <w:family w:val="roman"/>
    <w:pitch w:val="default"/>
  </w:font>
  <w:font w:name="Helvetica">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674AFC" w14:textId="77777777" w:rsidR="00D87660" w:rsidRDefault="00D87660">
    <w:pPr>
      <w:pStyle w:val="Body"/>
      <w:jc w:val="center"/>
    </w:pPr>
  </w:p>
  <w:p w14:paraId="08B45CC6" w14:textId="77777777" w:rsidR="00D87660" w:rsidRDefault="00773BF8">
    <w:pPr>
      <w:pStyle w:val="Body"/>
      <w:jc w:val="center"/>
    </w:pPr>
    <w:r>
      <w:rPr>
        <w:noProof/>
      </w:rPr>
      <w:drawing>
        <wp:inline distT="0" distB="0" distL="0" distR="0" wp14:anchorId="4C093C15" wp14:editId="1952E180">
          <wp:extent cx="2047875" cy="390525"/>
          <wp:effectExtent l="0" t="0" r="0" b="0"/>
          <wp:docPr id="1073741825" name="officeArt object" descr="RBC DS BW logo 2012"/>
          <wp:cNvGraphicFramePr/>
          <a:graphic xmlns:a="http://schemas.openxmlformats.org/drawingml/2006/main">
            <a:graphicData uri="http://schemas.openxmlformats.org/drawingml/2006/picture">
              <pic:pic xmlns:pic="http://schemas.openxmlformats.org/drawingml/2006/picture">
                <pic:nvPicPr>
                  <pic:cNvPr id="1073741825" name="RBC DS BW logo 2012" descr="RBC DS BW logo 2012"/>
                  <pic:cNvPicPr>
                    <a:picLocks noChangeAspect="1"/>
                  </pic:cNvPicPr>
                </pic:nvPicPr>
                <pic:blipFill>
                  <a:blip r:embed="rId1"/>
                  <a:stretch>
                    <a:fillRect/>
                  </a:stretch>
                </pic:blipFill>
                <pic:spPr>
                  <a:xfrm>
                    <a:off x="0" y="0"/>
                    <a:ext cx="2047875" cy="390525"/>
                  </a:xfrm>
                  <a:prstGeom prst="rect">
                    <a:avLst/>
                  </a:prstGeom>
                  <a:ln w="12700" cap="flat">
                    <a:noFill/>
                    <a:miter lim="400000"/>
                  </a:ln>
                  <a:effectLst/>
                </pic:spPr>
              </pic:pic>
            </a:graphicData>
          </a:graphic>
        </wp:inline>
      </w:drawing>
    </w:r>
  </w:p>
  <w:p w14:paraId="0A57C664" w14:textId="77777777" w:rsidR="00D87660" w:rsidRDefault="00D87660">
    <w:pPr>
      <w:pStyle w:val="Body"/>
      <w:jc w:val="center"/>
    </w:pPr>
  </w:p>
  <w:p w14:paraId="64628F1E" w14:textId="77777777" w:rsidR="00D87660" w:rsidRDefault="00773BF8">
    <w:pPr>
      <w:pStyle w:val="Body"/>
      <w:jc w:val="center"/>
      <w:rPr>
        <w:rFonts w:ascii="Century Gothic" w:eastAsia="Century Gothic" w:hAnsi="Century Gothic" w:cs="Century Gothic"/>
        <w:b/>
        <w:bCs/>
        <w:sz w:val="20"/>
        <w:szCs w:val="20"/>
      </w:rPr>
    </w:pPr>
    <w:r>
      <w:rPr>
        <w:rFonts w:ascii="Century Gothic" w:hAnsi="Century Gothic"/>
        <w:b/>
        <w:bCs/>
        <w:sz w:val="20"/>
        <w:szCs w:val="20"/>
        <w:lang w:val="en-US"/>
      </w:rPr>
      <w:t>Partaker Wealth Management of RBC Dominion Securities Inc</w:t>
    </w:r>
  </w:p>
  <w:p w14:paraId="341952DB" w14:textId="77777777" w:rsidR="00D87660" w:rsidRDefault="00773BF8">
    <w:pPr>
      <w:pStyle w:val="Body"/>
      <w:jc w:val="center"/>
    </w:pPr>
    <w:r>
      <w:rPr>
        <w:rFonts w:ascii="Century Gothic" w:hAnsi="Century Gothic"/>
        <w:b/>
        <w:bCs/>
        <w:sz w:val="20"/>
        <w:szCs w:val="20"/>
        <w:lang w:val="fr-FR"/>
      </w:rPr>
      <w:t>403.266.9647 Suite 300, 11012 Macleod Trail SE Calgary, AB T2J 6A5</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441B0D" w14:textId="77777777" w:rsidR="00D87660" w:rsidRDefault="00D87660">
    <w:pPr>
      <w:pStyle w:val="Footer"/>
    </w:pPr>
  </w:p>
  <w:p w14:paraId="01CEB318" w14:textId="77777777" w:rsidR="00D87660" w:rsidRDefault="00773BF8">
    <w:pPr>
      <w:pStyle w:val="Body"/>
      <w:jc w:val="center"/>
    </w:pPr>
    <w:r>
      <w:rPr>
        <w:noProof/>
      </w:rPr>
      <w:drawing>
        <wp:inline distT="0" distB="0" distL="0" distR="0" wp14:anchorId="214D108F" wp14:editId="24810A27">
          <wp:extent cx="6866891" cy="714375"/>
          <wp:effectExtent l="0" t="0" r="0" b="0"/>
          <wp:docPr id="1073741827" name="officeArt object" descr="image4.png"/>
          <wp:cNvGraphicFramePr/>
          <a:graphic xmlns:a="http://schemas.openxmlformats.org/drawingml/2006/main">
            <a:graphicData uri="http://schemas.openxmlformats.org/drawingml/2006/picture">
              <pic:pic xmlns:pic="http://schemas.openxmlformats.org/drawingml/2006/picture">
                <pic:nvPicPr>
                  <pic:cNvPr id="1073741827" name="image4.png" descr="image4.png"/>
                  <pic:cNvPicPr>
                    <a:picLocks noChangeAspect="1"/>
                  </pic:cNvPicPr>
                </pic:nvPicPr>
                <pic:blipFill>
                  <a:blip r:embed="rId1"/>
                  <a:stretch>
                    <a:fillRect/>
                  </a:stretch>
                </pic:blipFill>
                <pic:spPr>
                  <a:xfrm>
                    <a:off x="0" y="0"/>
                    <a:ext cx="6866891" cy="714375"/>
                  </a:xfrm>
                  <a:prstGeom prst="rect">
                    <a:avLst/>
                  </a:prstGeom>
                  <a:ln w="12700" cap="flat">
                    <a:noFill/>
                    <a:miter lim="400000"/>
                  </a:ln>
                  <a:effectLst/>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9F1595" w14:textId="77777777" w:rsidR="002F2952" w:rsidRDefault="002F2952">
      <w:r>
        <w:separator/>
      </w:r>
    </w:p>
  </w:footnote>
  <w:footnote w:type="continuationSeparator" w:id="0">
    <w:p w14:paraId="518A92BB" w14:textId="77777777" w:rsidR="002F2952" w:rsidRDefault="002F295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130671" w14:textId="77777777" w:rsidR="00D87660" w:rsidRDefault="00D87660">
    <w:pPr>
      <w:pStyle w:val="HeaderFoo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BFD8E3" w14:textId="77777777" w:rsidR="00D87660" w:rsidRDefault="00773BF8">
    <w:pPr>
      <w:pStyle w:val="Header"/>
    </w:pPr>
    <w:r>
      <w:rPr>
        <w:noProof/>
      </w:rPr>
      <w:drawing>
        <wp:inline distT="0" distB="0" distL="0" distR="0" wp14:anchorId="1BA1A63F" wp14:editId="237381F3">
          <wp:extent cx="6858000" cy="2420472"/>
          <wp:effectExtent l="0" t="0" r="0" b="0"/>
          <wp:docPr id="1073741826" name="officeArt object" descr="V:\TEAMS\TEAM20\RANDY PARTAKER\RBC\17_90717_R87_001_Partaker_banner_email_masthead.jpg"/>
          <wp:cNvGraphicFramePr/>
          <a:graphic xmlns:a="http://schemas.openxmlformats.org/drawingml/2006/main">
            <a:graphicData uri="http://schemas.openxmlformats.org/drawingml/2006/picture">
              <pic:pic xmlns:pic="http://schemas.openxmlformats.org/drawingml/2006/picture">
                <pic:nvPicPr>
                  <pic:cNvPr id="1073741826" name="V:\TEAMS\TEAM20\RANDY PARTAKER\RBC\17_90717_R87_001_Partaker_banner_email_masthead.jpg" descr="V:\TEAMS\TEAM20\RANDY PARTAKER\RBC\17_90717_R87_001_Partaker_banner_email_masthead.jpg"/>
                  <pic:cNvPicPr>
                    <a:picLocks noChangeAspect="1"/>
                  </pic:cNvPicPr>
                </pic:nvPicPr>
                <pic:blipFill>
                  <a:blip r:embed="rId1"/>
                  <a:stretch>
                    <a:fillRect/>
                  </a:stretch>
                </pic:blipFill>
                <pic:spPr>
                  <a:xfrm>
                    <a:off x="0" y="0"/>
                    <a:ext cx="6858000" cy="2420472"/>
                  </a:xfrm>
                  <a:prstGeom prst="rect">
                    <a:avLst/>
                  </a:prstGeom>
                  <a:ln w="12700" cap="flat">
                    <a:noFill/>
                    <a:miter lim="400000"/>
                  </a:ln>
                  <a:effec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CA0032"/>
    <w:multiLevelType w:val="hybridMultilevel"/>
    <w:tmpl w:val="5088FF62"/>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 w15:restartNumberingAfterBreak="0">
    <w:nsid w:val="0FF30261"/>
    <w:multiLevelType w:val="hybridMultilevel"/>
    <w:tmpl w:val="EE46A140"/>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 w15:restartNumberingAfterBreak="0">
    <w:nsid w:val="130D0698"/>
    <w:multiLevelType w:val="hybridMultilevel"/>
    <w:tmpl w:val="306E5CBA"/>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 w15:restartNumberingAfterBreak="0">
    <w:nsid w:val="152B3428"/>
    <w:multiLevelType w:val="hybridMultilevel"/>
    <w:tmpl w:val="1D34D27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15:restartNumberingAfterBreak="0">
    <w:nsid w:val="1BFD7A90"/>
    <w:multiLevelType w:val="hybridMultilevel"/>
    <w:tmpl w:val="95C417B0"/>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5" w15:restartNumberingAfterBreak="0">
    <w:nsid w:val="2576561E"/>
    <w:multiLevelType w:val="hybridMultilevel"/>
    <w:tmpl w:val="E64A3D7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15:restartNumberingAfterBreak="0">
    <w:nsid w:val="2A287833"/>
    <w:multiLevelType w:val="hybridMultilevel"/>
    <w:tmpl w:val="01C2E7C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7" w15:restartNumberingAfterBreak="0">
    <w:nsid w:val="303F292A"/>
    <w:multiLevelType w:val="hybridMultilevel"/>
    <w:tmpl w:val="927C31A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31390631"/>
    <w:multiLevelType w:val="hybridMultilevel"/>
    <w:tmpl w:val="35C402A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4DC82B9D"/>
    <w:multiLevelType w:val="hybridMultilevel"/>
    <w:tmpl w:val="C97AFB0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0" w15:restartNumberingAfterBreak="0">
    <w:nsid w:val="59320CA6"/>
    <w:multiLevelType w:val="hybridMultilevel"/>
    <w:tmpl w:val="E278CF9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1" w15:restartNumberingAfterBreak="0">
    <w:nsid w:val="5A5F2DEB"/>
    <w:multiLevelType w:val="hybridMultilevel"/>
    <w:tmpl w:val="A3209D1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2" w15:restartNumberingAfterBreak="0">
    <w:nsid w:val="5ABD4181"/>
    <w:multiLevelType w:val="hybridMultilevel"/>
    <w:tmpl w:val="548621C8"/>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3" w15:restartNumberingAfterBreak="0">
    <w:nsid w:val="63BC68EE"/>
    <w:multiLevelType w:val="hybridMultilevel"/>
    <w:tmpl w:val="9DF8B36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4" w15:restartNumberingAfterBreak="0">
    <w:nsid w:val="661341EA"/>
    <w:multiLevelType w:val="hybridMultilevel"/>
    <w:tmpl w:val="03FC2BC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5" w15:restartNumberingAfterBreak="0">
    <w:nsid w:val="694725E8"/>
    <w:multiLevelType w:val="hybridMultilevel"/>
    <w:tmpl w:val="18D05C8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6D1A4FD2"/>
    <w:multiLevelType w:val="hybridMultilevel"/>
    <w:tmpl w:val="DAA20A7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7" w15:restartNumberingAfterBreak="0">
    <w:nsid w:val="6FC9375F"/>
    <w:multiLevelType w:val="hybridMultilevel"/>
    <w:tmpl w:val="E2186A56"/>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8" w15:restartNumberingAfterBreak="0">
    <w:nsid w:val="748B3BD4"/>
    <w:multiLevelType w:val="hybridMultilevel"/>
    <w:tmpl w:val="CC402B7A"/>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num w:numId="1" w16cid:durableId="1010790007">
    <w:abstractNumId w:val="4"/>
  </w:num>
  <w:num w:numId="2" w16cid:durableId="1216047184">
    <w:abstractNumId w:val="2"/>
  </w:num>
  <w:num w:numId="3" w16cid:durableId="1451821048">
    <w:abstractNumId w:val="18"/>
  </w:num>
  <w:num w:numId="4" w16cid:durableId="1511942073">
    <w:abstractNumId w:val="17"/>
  </w:num>
  <w:num w:numId="5" w16cid:durableId="814875914">
    <w:abstractNumId w:val="0"/>
  </w:num>
  <w:num w:numId="6" w16cid:durableId="2115056690">
    <w:abstractNumId w:val="1"/>
  </w:num>
  <w:num w:numId="7" w16cid:durableId="1238786807">
    <w:abstractNumId w:val="12"/>
  </w:num>
  <w:num w:numId="8" w16cid:durableId="1188565203">
    <w:abstractNumId w:val="8"/>
  </w:num>
  <w:num w:numId="9" w16cid:durableId="1945916575">
    <w:abstractNumId w:val="15"/>
  </w:num>
  <w:num w:numId="10" w16cid:durableId="1803427238">
    <w:abstractNumId w:val="7"/>
  </w:num>
  <w:num w:numId="11" w16cid:durableId="841428243">
    <w:abstractNumId w:val="14"/>
  </w:num>
  <w:num w:numId="12" w16cid:durableId="1410077506">
    <w:abstractNumId w:val="16"/>
  </w:num>
  <w:num w:numId="13" w16cid:durableId="1051732838">
    <w:abstractNumId w:val="3"/>
  </w:num>
  <w:num w:numId="14" w16cid:durableId="1033189321">
    <w:abstractNumId w:val="13"/>
  </w:num>
  <w:num w:numId="15" w16cid:durableId="548154025">
    <w:abstractNumId w:val="11"/>
  </w:num>
  <w:num w:numId="16" w16cid:durableId="794567098">
    <w:abstractNumId w:val="5"/>
  </w:num>
  <w:num w:numId="17" w16cid:durableId="908927720">
    <w:abstractNumId w:val="10"/>
  </w:num>
  <w:num w:numId="18" w16cid:durableId="1336224591">
    <w:abstractNumId w:val="6"/>
  </w:num>
  <w:num w:numId="19" w16cid:durableId="170236566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5"/>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7660"/>
    <w:rsid w:val="00086E8F"/>
    <w:rsid w:val="001458F3"/>
    <w:rsid w:val="00153C2D"/>
    <w:rsid w:val="001B4835"/>
    <w:rsid w:val="001C1764"/>
    <w:rsid w:val="001D1537"/>
    <w:rsid w:val="001E52C2"/>
    <w:rsid w:val="002716EF"/>
    <w:rsid w:val="002F2952"/>
    <w:rsid w:val="003479F2"/>
    <w:rsid w:val="00361396"/>
    <w:rsid w:val="003B0BD8"/>
    <w:rsid w:val="003B22D5"/>
    <w:rsid w:val="00431996"/>
    <w:rsid w:val="004452AA"/>
    <w:rsid w:val="004F12AC"/>
    <w:rsid w:val="00506515"/>
    <w:rsid w:val="00512A67"/>
    <w:rsid w:val="005A4EBD"/>
    <w:rsid w:val="005E15C6"/>
    <w:rsid w:val="00604528"/>
    <w:rsid w:val="0061228C"/>
    <w:rsid w:val="006808BC"/>
    <w:rsid w:val="006A10D3"/>
    <w:rsid w:val="006C7C2F"/>
    <w:rsid w:val="00772E92"/>
    <w:rsid w:val="00773BF8"/>
    <w:rsid w:val="007A72E9"/>
    <w:rsid w:val="00813780"/>
    <w:rsid w:val="00820122"/>
    <w:rsid w:val="00875DCC"/>
    <w:rsid w:val="008D6193"/>
    <w:rsid w:val="00941077"/>
    <w:rsid w:val="00956870"/>
    <w:rsid w:val="00A7094D"/>
    <w:rsid w:val="00AA13FB"/>
    <w:rsid w:val="00B256C9"/>
    <w:rsid w:val="00B30316"/>
    <w:rsid w:val="00B34060"/>
    <w:rsid w:val="00B34917"/>
    <w:rsid w:val="00B6194E"/>
    <w:rsid w:val="00B912E5"/>
    <w:rsid w:val="00BB3DD5"/>
    <w:rsid w:val="00BC0545"/>
    <w:rsid w:val="00BC55A6"/>
    <w:rsid w:val="00BD59FD"/>
    <w:rsid w:val="00C12F92"/>
    <w:rsid w:val="00CA703A"/>
    <w:rsid w:val="00CB78C7"/>
    <w:rsid w:val="00D87660"/>
    <w:rsid w:val="00DB2D28"/>
    <w:rsid w:val="00E0100A"/>
    <w:rsid w:val="00E91122"/>
    <w:rsid w:val="00E92CA7"/>
    <w:rsid w:val="00EA2E0A"/>
    <w:rsid w:val="00ED1C24"/>
    <w:rsid w:val="00ED6A87"/>
    <w:rsid w:val="00EF0D1A"/>
    <w:rsid w:val="00F535A0"/>
    <w:rsid w:val="00FF3880"/>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B9870D"/>
  <w15:docId w15:val="{46DD3250-5FD8-4B16-9D0A-7D2F7D4B8A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CA" w:eastAsia="en-CA"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w:hAnsi="Helvetica" w:cs="Arial Unicode MS"/>
      <w:color w:val="000000"/>
      <w:sz w:val="24"/>
      <w:szCs w:val="24"/>
      <w14:textOutline w14:w="0" w14:cap="flat" w14:cmpd="sng" w14:algn="ctr">
        <w14:noFill/>
        <w14:prstDash w14:val="solid"/>
        <w14:bevel/>
      </w14:textOutline>
    </w:rPr>
  </w:style>
  <w:style w:type="paragraph" w:customStyle="1" w:styleId="Body">
    <w:name w:val="Body"/>
    <w:rPr>
      <w:rFonts w:cs="Arial Unicode MS"/>
      <w:color w:val="000000"/>
      <w:sz w:val="24"/>
      <w:szCs w:val="24"/>
      <w:u w:color="000000"/>
      <w14:textOutline w14:w="0" w14:cap="flat" w14:cmpd="sng" w14:algn="ctr">
        <w14:noFill/>
        <w14:prstDash w14:val="solid"/>
        <w14:bevel/>
      </w14:textOutline>
    </w:rPr>
  </w:style>
  <w:style w:type="paragraph" w:styleId="Header">
    <w:name w:val="header"/>
    <w:pPr>
      <w:tabs>
        <w:tab w:val="center" w:pos="4680"/>
        <w:tab w:val="right" w:pos="9360"/>
      </w:tabs>
    </w:pPr>
    <w:rPr>
      <w:rFonts w:eastAsia="Times New Roman"/>
      <w:color w:val="000000"/>
      <w:sz w:val="24"/>
      <w:szCs w:val="24"/>
      <w:u w:color="000000"/>
      <w:lang w:val="en-US"/>
      <w14:textOutline w14:w="0" w14:cap="flat" w14:cmpd="sng" w14:algn="ctr">
        <w14:noFill/>
        <w14:prstDash w14:val="solid"/>
        <w14:bevel/>
      </w14:textOutline>
    </w:rPr>
  </w:style>
  <w:style w:type="paragraph" w:styleId="Footer">
    <w:name w:val="footer"/>
    <w:pPr>
      <w:tabs>
        <w:tab w:val="center" w:pos="4680"/>
        <w:tab w:val="right" w:pos="9360"/>
      </w:tabs>
    </w:pPr>
    <w:rPr>
      <w:rFonts w:eastAsia="Times New Roman"/>
      <w:color w:val="000000"/>
      <w:sz w:val="24"/>
      <w:szCs w:val="24"/>
      <w:u w:color="000000"/>
      <w:lang w:val="en-US"/>
      <w14:textOutline w14:w="0" w14:cap="flat" w14:cmpd="sng" w14:algn="ctr">
        <w14:noFill/>
        <w14:prstDash w14:val="solid"/>
        <w14:bevel/>
      </w14:textOutline>
    </w:rPr>
  </w:style>
  <w:style w:type="paragraph" w:customStyle="1" w:styleId="Default">
    <w:name w:val="Default"/>
    <w:rPr>
      <w:rFonts w:ascii="Helvetica" w:hAnsi="Helvetica" w:cs="Arial Unicode MS"/>
      <w:color w:val="000000"/>
      <w:sz w:val="22"/>
      <w:szCs w:val="22"/>
      <w:lang w:val="en-US"/>
      <w14:textOutline w14:w="0" w14:cap="flat" w14:cmpd="sng" w14:algn="ctr">
        <w14:noFill/>
        <w14:prstDash w14:val="solid"/>
        <w14:bevel/>
      </w14:textOutline>
    </w:rPr>
  </w:style>
  <w:style w:type="character" w:customStyle="1" w:styleId="Link">
    <w:name w:val="Link"/>
    <w:rPr>
      <w:outline w:val="0"/>
      <w:color w:val="0000FF"/>
      <w:u w:val="single" w:color="0000FF"/>
    </w:rPr>
  </w:style>
  <w:style w:type="character" w:customStyle="1" w:styleId="Hyperlink0">
    <w:name w:val="Hyperlink.0"/>
    <w:basedOn w:val="Link"/>
    <w:rPr>
      <w:outline w:val="0"/>
      <w:color w:val="0000FF"/>
      <w:sz w:val="20"/>
      <w:szCs w:val="20"/>
      <w:u w:val="single" w:color="0000FF"/>
    </w:rPr>
  </w:style>
  <w:style w:type="character" w:customStyle="1" w:styleId="Hyperlink1">
    <w:name w:val="Hyperlink.1"/>
    <w:basedOn w:val="Link"/>
    <w:rPr>
      <w:outline w:val="0"/>
      <w:color w:val="0000FF"/>
      <w:sz w:val="18"/>
      <w:szCs w:val="18"/>
      <w:u w:val="single" w:color="0000FF"/>
    </w:rPr>
  </w:style>
  <w:style w:type="paragraph" w:styleId="ListParagraph">
    <w:name w:val="List Paragraph"/>
    <w:basedOn w:val="Normal"/>
    <w:uiPriority w:val="34"/>
    <w:qFormat/>
    <w:rsid w:val="001D1537"/>
    <w:pPr>
      <w:ind w:left="720"/>
      <w:contextualSpacing/>
    </w:pPr>
  </w:style>
  <w:style w:type="character" w:styleId="UnresolvedMention">
    <w:name w:val="Unresolved Mention"/>
    <w:basedOn w:val="DefaultParagraphFont"/>
    <w:uiPriority w:val="99"/>
    <w:semiHidden/>
    <w:unhideWhenUsed/>
    <w:rsid w:val="00DB2D28"/>
    <w:rPr>
      <w:color w:val="605E5C"/>
      <w:shd w:val="clear" w:color="auto" w:fill="E1DFDD"/>
    </w:rPr>
  </w:style>
  <w:style w:type="paragraph" w:styleId="Caption">
    <w:name w:val="caption"/>
    <w:basedOn w:val="Normal"/>
    <w:next w:val="Normal"/>
    <w:uiPriority w:val="35"/>
    <w:unhideWhenUsed/>
    <w:qFormat/>
    <w:rsid w:val="00820122"/>
    <w:pPr>
      <w:spacing w:after="200"/>
    </w:pPr>
    <w:rPr>
      <w:i/>
      <w:iCs/>
      <w:color w:val="A7A7A7"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6.royalbank.com/en/di/hubs/now-and-noteworthy/article/year-in-review/miaiynt8"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s://wherecalgary.ca/2024/12/19/free-things-to-do-in-calgary/"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footer2.xml.rels><?xml version="1.0" encoding="UTF-8" standalone="yes"?>
<Relationships xmlns="http://schemas.openxmlformats.org/package/2006/relationships"><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Theme">
      <a:majorFont>
        <a:latin typeface="Helvetica"/>
        <a:ea typeface="Helvetica"/>
        <a:cs typeface="Helvetica"/>
      </a:majorFont>
      <a:minorFont>
        <a:latin typeface="Helvetica"/>
        <a:ea typeface="Helvetica"/>
        <a:cs typeface="Helvetica"/>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F7999AD-54F2-4EC0-BE3F-725EEC159A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11</Pages>
  <Words>3988</Words>
  <Characters>22737</Characters>
  <Application>Microsoft Office Word</Application>
  <DocSecurity>4</DocSecurity>
  <Lines>189</Lines>
  <Paragraphs>53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26672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 Ann Partaker</dc:creator>
  <cp:lastModifiedBy>Marko, Bonnie</cp:lastModifiedBy>
  <cp:revision>2</cp:revision>
  <dcterms:created xsi:type="dcterms:W3CDTF">2026-01-07T15:54:00Z</dcterms:created>
  <dcterms:modified xsi:type="dcterms:W3CDTF">2026-01-07T15:54:00Z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f01692fd-22c0-4d57-8827-ca1b33aa058d_Enabled">
    <vt:lpwstr>true</vt:lpwstr>
  </property>
  <property fmtid="{D5CDD505-2E9C-101B-9397-08002B2CF9AE}" pid="3" name="MSIP_Label_f01692fd-22c0-4d57-8827-ca1b33aa058d_Method">
    <vt:lpwstr>Privileged</vt:lpwstr>
  </property>
  <property fmtid="{D5CDD505-2E9C-101B-9397-08002B2CF9AE}" pid="4" name="MSIP_Label_f01692fd-22c0-4d57-8827-ca1b33aa058d_SiteId">
    <vt:lpwstr>9323b596-236d-4890-bed3-60232a849027</vt:lpwstr>
  </property>
  <property fmtid="{D5CDD505-2E9C-101B-9397-08002B2CF9AE}" pid="5" name="Classification">
    <vt:lpwstr>TT_RBC_Internal</vt:lpwstr>
  </property>
</Properties>
</file>