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7AE536" w14:textId="2DFD37F6" w:rsidR="001D7BD4" w:rsidRPr="00416E7E" w:rsidRDefault="001D7BD4" w:rsidP="007C4C41">
      <w:pPr>
        <w:rPr>
          <w:b/>
          <w:bCs/>
        </w:rPr>
      </w:pPr>
      <w:bookmarkStart w:id="0" w:name="_Hlk212648112"/>
      <w:r w:rsidRPr="00416E7E">
        <w:rPr>
          <w:b/>
          <w:bCs/>
        </w:rPr>
        <w:t>Portfolio Adv</w:t>
      </w:r>
      <w:r w:rsidR="00416E7E" w:rsidRPr="00416E7E">
        <w:rPr>
          <w:b/>
          <w:bCs/>
        </w:rPr>
        <w:t>isory Group Update Friday October 31</w:t>
      </w:r>
      <w:r w:rsidR="00416E7E" w:rsidRPr="00416E7E">
        <w:rPr>
          <w:b/>
          <w:bCs/>
          <w:vertAlign w:val="superscript"/>
        </w:rPr>
        <w:t>st</w:t>
      </w:r>
      <w:r w:rsidR="00416E7E" w:rsidRPr="00416E7E">
        <w:rPr>
          <w:b/>
          <w:bCs/>
        </w:rPr>
        <w:t xml:space="preserve"> </w:t>
      </w:r>
    </w:p>
    <w:p w14:paraId="0E8BB00B" w14:textId="7861F181" w:rsidR="005E51D6" w:rsidRDefault="007C4C41" w:rsidP="007C4C41">
      <w:r w:rsidRPr="007C4C41">
        <w:t>Approaching the one-month point of the U.S. federal government shutdown, the Federal Reserve</w:t>
      </w:r>
      <w:r w:rsidR="00491A18">
        <w:t xml:space="preserve"> (Fed)</w:t>
      </w:r>
      <w:r w:rsidRPr="007C4C41">
        <w:t xml:space="preserve"> has been forced to make </w:t>
      </w:r>
      <w:r w:rsidR="006B4CEF">
        <w:t xml:space="preserve">an </w:t>
      </w:r>
      <w:r>
        <w:t>interest rate</w:t>
      </w:r>
      <w:r w:rsidRPr="007C4C41">
        <w:t xml:space="preserve"> decision with only partial visibility into the economy. </w:t>
      </w:r>
      <w:r>
        <w:t>Meanwhile</w:t>
      </w:r>
      <w:r w:rsidRPr="007C4C41">
        <w:t xml:space="preserve">, signs of weakness in </w:t>
      </w:r>
      <w:r>
        <w:t>pockets</w:t>
      </w:r>
      <w:r w:rsidRPr="007C4C41">
        <w:t xml:space="preserve"> of the Canadian economy prompted the Bank of Canada (BoC) to follow suit with a rate reduction.</w:t>
      </w:r>
      <w:r>
        <w:t xml:space="preserve"> </w:t>
      </w:r>
      <w:r w:rsidR="006B4CEF">
        <w:t>Although</w:t>
      </w:r>
      <w:r w:rsidRPr="007C4C41">
        <w:t xml:space="preserve"> trade tensions remain an overhang, equity markets have </w:t>
      </w:r>
      <w:r>
        <w:t>been demonstrating resilience</w:t>
      </w:r>
      <w:r w:rsidRPr="007C4C41">
        <w:t>, supported by strong corporate earnings and investor confidence in underlying fundamentals. We discuss these themes further below.</w:t>
      </w:r>
    </w:p>
    <w:p w14:paraId="3CB00E4A" w14:textId="76EE05F2" w:rsidR="000D32B3" w:rsidRPr="000D32B3" w:rsidRDefault="000D32B3">
      <w:pPr>
        <w:rPr>
          <w:b/>
          <w:bCs/>
        </w:rPr>
      </w:pPr>
      <w:r w:rsidRPr="000D32B3">
        <w:rPr>
          <w:b/>
          <w:bCs/>
        </w:rPr>
        <w:t>Q3 Earnings</w:t>
      </w:r>
    </w:p>
    <w:p w14:paraId="50660283" w14:textId="77777777" w:rsidR="006B4CEF" w:rsidRDefault="00451E2D" w:rsidP="00451E2D">
      <w:r w:rsidRPr="00451E2D">
        <w:t xml:space="preserve">The U.S. earnings season is now in full swing, with </w:t>
      </w:r>
      <w:r>
        <w:t>nearly</w:t>
      </w:r>
      <w:r w:rsidRPr="00451E2D">
        <w:t xml:space="preserve"> one-third of S&amp;P 500 companies </w:t>
      </w:r>
      <w:r>
        <w:t>reporting</w:t>
      </w:r>
      <w:r w:rsidRPr="00451E2D">
        <w:t xml:space="preserve"> this week. In the absence of much official U.S. data, corporate results and management commentary have become even more valuable in gauging the health of the economy. </w:t>
      </w:r>
      <w:r w:rsidRPr="00416E7E">
        <w:rPr>
          <w:highlight w:val="green"/>
        </w:rPr>
        <w:t>So far, earnings have exceeded expectations, with companies surpassing analysts’ estimates at rates above five- and ten-year averages.</w:t>
      </w:r>
      <w:r w:rsidRPr="00451E2D">
        <w:t xml:space="preserve"> </w:t>
      </w:r>
    </w:p>
    <w:p w14:paraId="213D5619" w14:textId="3AB1C1D6" w:rsidR="000D32B3" w:rsidRDefault="00451E2D" w:rsidP="00451E2D">
      <w:r w:rsidRPr="00451E2D">
        <w:t xml:space="preserve">With </w:t>
      </w:r>
      <w:r>
        <w:t xml:space="preserve">many </w:t>
      </w:r>
      <w:r w:rsidRPr="00451E2D">
        <w:t xml:space="preserve">global equity markets hovering near </w:t>
      </w:r>
      <w:r>
        <w:t>all-time highs</w:t>
      </w:r>
      <w:r w:rsidRPr="00451E2D">
        <w:t xml:space="preserve">, continued earnings delivery and constructive forward guidance will be key to sustaining </w:t>
      </w:r>
      <w:r>
        <w:t>upward momentum</w:t>
      </w:r>
      <w:r w:rsidRPr="00451E2D">
        <w:t xml:space="preserve">. Over the past week, investors have focused closely on Big Tech </w:t>
      </w:r>
      <w:r>
        <w:t>earnings</w:t>
      </w:r>
      <w:r w:rsidRPr="00451E2D">
        <w:t xml:space="preserve">, </w:t>
      </w:r>
      <w:r>
        <w:t xml:space="preserve">tracking their </w:t>
      </w:r>
      <w:r w:rsidRPr="00451E2D">
        <w:t>capital spending trends and assessing the path forward for AI-related investments</w:t>
      </w:r>
      <w:r>
        <w:t xml:space="preserve">. </w:t>
      </w:r>
      <w:r w:rsidR="000D32B3">
        <w:t xml:space="preserve">So far, </w:t>
      </w:r>
      <w:r>
        <w:t xml:space="preserve">the results have been perceived favourably, </w:t>
      </w:r>
      <w:r w:rsidRPr="00451E2D">
        <w:t>lend</w:t>
      </w:r>
      <w:r>
        <w:t>ing</w:t>
      </w:r>
      <w:r w:rsidRPr="00451E2D">
        <w:t xml:space="preserve"> support to </w:t>
      </w:r>
      <w:r>
        <w:t xml:space="preserve">equity markets with tech companies </w:t>
      </w:r>
      <w:r w:rsidR="000D32B3">
        <w:t>announcing continued investment, collaboration, and innovation.</w:t>
      </w:r>
    </w:p>
    <w:p w14:paraId="0227B615" w14:textId="6B1B8BE0" w:rsidR="000D32B3" w:rsidRPr="000D32B3" w:rsidRDefault="00D77CFE">
      <w:pPr>
        <w:rPr>
          <w:b/>
          <w:bCs/>
        </w:rPr>
      </w:pPr>
      <w:bookmarkStart w:id="1" w:name="_Hlk212656790"/>
      <w:r>
        <w:rPr>
          <w:b/>
          <w:bCs/>
        </w:rPr>
        <w:t>Interest Rate Cuts</w:t>
      </w:r>
    </w:p>
    <w:p w14:paraId="2919D8FE" w14:textId="39284745" w:rsidR="007A28E5" w:rsidRDefault="00824859" w:rsidP="00FE55B3">
      <w:r w:rsidRPr="00824859">
        <w:t xml:space="preserve">Amid limited economic visibility caused by the ongoing government shutdown, the Federal Reserve opted to trim its benchmark rate by </w:t>
      </w:r>
      <w:r>
        <w:t>0.25%</w:t>
      </w:r>
      <w:r w:rsidRPr="00824859">
        <w:t xml:space="preserve"> this week. With many official reports unavailable, policymakers leaned on </w:t>
      </w:r>
      <w:r>
        <w:t>alternative</w:t>
      </w:r>
      <w:r w:rsidRPr="00824859">
        <w:t xml:space="preserve"> data </w:t>
      </w:r>
      <w:r>
        <w:t xml:space="preserve">sources </w:t>
      </w:r>
      <w:r w:rsidRPr="00824859">
        <w:t xml:space="preserve">and </w:t>
      </w:r>
      <w:r>
        <w:t>commentary</w:t>
      </w:r>
      <w:r w:rsidRPr="00824859">
        <w:t xml:space="preserve"> </w:t>
      </w:r>
      <w:r>
        <w:t xml:space="preserve">from the business sector </w:t>
      </w:r>
      <w:r w:rsidRPr="00824859">
        <w:t>to gauge inflation dynamics and consumer demand.</w:t>
      </w:r>
      <w:r w:rsidR="007A28E5">
        <w:t xml:space="preserve"> </w:t>
      </w:r>
      <w:r w:rsidR="007A28E5" w:rsidRPr="007A28E5">
        <w:t>The September inflation</w:t>
      </w:r>
      <w:r w:rsidR="007A28E5">
        <w:t xml:space="preserve"> </w:t>
      </w:r>
      <w:r w:rsidR="007A28E5" w:rsidRPr="007A28E5">
        <w:t xml:space="preserve">report—released as an exception due to its role in determining Social Security adjustments—offered one of the few clear signals. While </w:t>
      </w:r>
      <w:r w:rsidR="007A28E5">
        <w:t>inflation</w:t>
      </w:r>
      <w:r w:rsidR="007A28E5" w:rsidRPr="007A28E5">
        <w:t xml:space="preserve"> remain</w:t>
      </w:r>
      <w:r w:rsidR="007A28E5">
        <w:t>ed</w:t>
      </w:r>
      <w:r w:rsidR="007A28E5" w:rsidRPr="007A28E5">
        <w:t xml:space="preserve"> above the Fed’s 2% goal, the softer-than-expected reading and steady underlying trends gave officials confidence to ease policy.</w:t>
      </w:r>
      <w:r w:rsidR="007A28E5">
        <w:t xml:space="preserve"> </w:t>
      </w:r>
    </w:p>
    <w:p w14:paraId="0E5A3932" w14:textId="5FA646B0" w:rsidR="00824859" w:rsidRDefault="007A28E5" w:rsidP="00FE55B3">
      <w:r w:rsidRPr="007A28E5">
        <w:t>Fed Chair Powell cautioned, however, that continued data disruptions could complicate future decisions. He noted that another rate cut in December “is not a foregone conclusion,” stressing the Fed’s need to balance “upside risks to inflation and downside risks to employment” amid an increasingly uncertain data environment.</w:t>
      </w:r>
    </w:p>
    <w:p w14:paraId="61DE9AA9" w14:textId="2311BBAC" w:rsidR="007A28E5" w:rsidRDefault="007A28E5" w:rsidP="00FE55B3">
      <w:bookmarkStart w:id="2" w:name="_Hlk212719196"/>
      <w:r>
        <w:t>In Canada</w:t>
      </w:r>
      <w:r w:rsidRPr="007A28E5">
        <w:t xml:space="preserve">, the </w:t>
      </w:r>
      <w:r>
        <w:t>BoC</w:t>
      </w:r>
      <w:r w:rsidRPr="007A28E5">
        <w:t xml:space="preserve"> also lowered rates by 0.25%. Despite a modest uptick in headline inflation, easing business inflation expectations, the removal of retaliatory tariffs, and a </w:t>
      </w:r>
      <w:r>
        <w:t>tepid</w:t>
      </w:r>
      <w:r w:rsidRPr="007A28E5">
        <w:t xml:space="preserve"> labour market provided scope to cut for a second consecutive meeting. However, </w:t>
      </w:r>
      <w:r w:rsidRPr="007A28E5">
        <w:lastRenderedPageBreak/>
        <w:t xml:space="preserve">policymakers </w:t>
      </w:r>
      <w:r w:rsidR="006B4CEF" w:rsidRPr="006B4CEF">
        <w:t xml:space="preserve">tempered expectations of more cuts in the months </w:t>
      </w:r>
      <w:r w:rsidR="006B4CEF">
        <w:t>ahead</w:t>
      </w:r>
      <w:r w:rsidRPr="007A28E5">
        <w:t xml:space="preserve">, noting </w:t>
      </w:r>
      <w:r w:rsidR="00700212">
        <w:t>that persistent trade disruptions could cause</w:t>
      </w:r>
      <w:r w:rsidR="00247DC1">
        <w:t xml:space="preserve"> </w:t>
      </w:r>
      <w:r w:rsidR="00247DC1" w:rsidRPr="00247DC1">
        <w:t>structural</w:t>
      </w:r>
      <w:r w:rsidR="00700212">
        <w:t xml:space="preserve"> scars to the economy, potentially making monetary policy a less effective tool in stimulating growth while </w:t>
      </w:r>
      <w:r w:rsidRPr="007A28E5">
        <w:t>keeping inflation</w:t>
      </w:r>
      <w:r w:rsidR="00700212">
        <w:t xml:space="preserve"> anchored around its target range. </w:t>
      </w:r>
    </w:p>
    <w:p w14:paraId="1339127F" w14:textId="1C46E1BC" w:rsidR="009E5D36" w:rsidRDefault="009E5D36">
      <w:pPr>
        <w:rPr>
          <w:b/>
          <w:bCs/>
        </w:rPr>
      </w:pPr>
      <w:bookmarkStart w:id="3" w:name="_Hlk212717988"/>
      <w:bookmarkEnd w:id="1"/>
      <w:bookmarkEnd w:id="2"/>
      <w:r w:rsidRPr="009E5D36">
        <w:rPr>
          <w:b/>
          <w:bCs/>
        </w:rPr>
        <w:t>Trade</w:t>
      </w:r>
      <w:r w:rsidR="001E3AE1">
        <w:rPr>
          <w:b/>
          <w:bCs/>
        </w:rPr>
        <w:t xml:space="preserve"> </w:t>
      </w:r>
      <w:r w:rsidR="00E865C7">
        <w:rPr>
          <w:b/>
          <w:bCs/>
        </w:rPr>
        <w:t>F</w:t>
      </w:r>
      <w:r w:rsidR="001E3AE1">
        <w:rPr>
          <w:b/>
          <w:bCs/>
        </w:rPr>
        <w:t>rictions</w:t>
      </w:r>
    </w:p>
    <w:p w14:paraId="76BD0BC4" w14:textId="6DF69AAD" w:rsidR="00E767BF" w:rsidRDefault="007A28E5">
      <w:r w:rsidRPr="007A28E5">
        <w:t xml:space="preserve">Canada has once again drawn attention from the U.S. administration, as President Trump proposed an additional 10% tariff on Canadian goods in response to </w:t>
      </w:r>
      <w:r w:rsidR="00E15ED4">
        <w:t xml:space="preserve">a </w:t>
      </w:r>
      <w:r w:rsidRPr="007A28E5">
        <w:t xml:space="preserve">recent anti-tariff </w:t>
      </w:r>
      <w:r w:rsidRPr="00FE55B3">
        <w:t>advertisement</w:t>
      </w:r>
      <w:r w:rsidRPr="00416E7E">
        <w:rPr>
          <w:highlight w:val="green"/>
        </w:rPr>
        <w:t xml:space="preserve">. While details remain unclear, most Canadian exports continue to benefit from USMCA protections, helping cushion the overall impact. Nonetheless, ongoing sectoral tariffs—particularly in steel, aluminum, and autos—continue to weigh on industrial activity and may constrain growth prospects. </w:t>
      </w:r>
      <w:r w:rsidR="00E767BF" w:rsidRPr="00416E7E">
        <w:rPr>
          <w:highlight w:val="green"/>
        </w:rPr>
        <w:t>With USMCA renegotiations on the horizon in 2026, we’ll be paying close attention to how this renewed friction evolves.</w:t>
      </w:r>
    </w:p>
    <w:p w14:paraId="114A422C" w14:textId="11CE842F" w:rsidR="006B4CEF" w:rsidRDefault="00E767BF" w:rsidP="006B4CEF">
      <w:r w:rsidRPr="00416E7E">
        <w:rPr>
          <w:highlight w:val="yellow"/>
        </w:rPr>
        <w:t>In contrast, there was a more positive turn in U.S.–China relations. The in-person meeting between Presidents Trump and Xi Jinping in South Korea this week delivered a temporary but constructive breakthrough</w:t>
      </w:r>
      <w:r w:rsidR="006B4CEF" w:rsidRPr="00416E7E">
        <w:rPr>
          <w:highlight w:val="yellow"/>
        </w:rPr>
        <w:t>.</w:t>
      </w:r>
      <w:r w:rsidRPr="00416E7E">
        <w:rPr>
          <w:highlight w:val="yellow"/>
        </w:rPr>
        <w:t xml:space="preserve"> </w:t>
      </w:r>
      <w:r w:rsidR="006B4CEF" w:rsidRPr="00416E7E">
        <w:rPr>
          <w:highlight w:val="yellow"/>
        </w:rPr>
        <w:t>The two countries have agreed to suspend export controls on rare earth minerals and some semiconductors as part of a broader one-year trade truce that will also see the U.S. reduce fentanyl-related tariffs and China resume soybean purchases. While the agreement helps reduce the immediate risk of further tariff escalation, the short duration of the truce means policy uncertainty is likely to persist and could remain a source of market volatility.</w:t>
      </w:r>
    </w:p>
    <w:bookmarkEnd w:id="3"/>
    <w:p w14:paraId="775DA1D7" w14:textId="3020BED0" w:rsidR="00356752" w:rsidRDefault="00356752">
      <w:pPr>
        <w:rPr>
          <w:b/>
          <w:bCs/>
        </w:rPr>
      </w:pPr>
      <w:r w:rsidRPr="00356752">
        <w:rPr>
          <w:b/>
          <w:bCs/>
        </w:rPr>
        <w:t>Takeaway</w:t>
      </w:r>
    </w:p>
    <w:p w14:paraId="08128C05" w14:textId="0FA02418" w:rsidR="00E767BF" w:rsidRDefault="00E767BF" w:rsidP="00E767BF">
      <w:r w:rsidRPr="00E767BF">
        <w:t xml:space="preserve">With corporate earnings season </w:t>
      </w:r>
      <w:r>
        <w:t>off to a broadly positive start a</w:t>
      </w:r>
      <w:r w:rsidRPr="00E767BF">
        <w:t>nd central banks moving to support growth</w:t>
      </w:r>
      <w:r>
        <w:t xml:space="preserve">, </w:t>
      </w:r>
      <w:r w:rsidRPr="00E767BF">
        <w:t xml:space="preserve">the foundation for cautious optimism in equity markets appears </w:t>
      </w:r>
      <w:r>
        <w:t>to be intact</w:t>
      </w:r>
      <w:r w:rsidRPr="00E767BF">
        <w:t xml:space="preserve">. The combination of </w:t>
      </w:r>
      <w:r>
        <w:t>interest rate cuts</w:t>
      </w:r>
      <w:r w:rsidRPr="00E767BF">
        <w:t xml:space="preserve"> and resilient earnings reinforces our view that maintaining an “invested but selective” stance remains appropriate. We continue to monitor the evolving policy landscape closely, balancing opportunity with vigilance in a still-uncertain environment.</w:t>
      </w:r>
      <w:bookmarkEnd w:id="0"/>
    </w:p>
    <w:sectPr w:rsidR="00E767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PWAFVersion" w:val="5.0"/>
  </w:docVars>
  <w:rsids>
    <w:rsidRoot w:val="00E87644"/>
    <w:rsid w:val="000720AF"/>
    <w:rsid w:val="00095E3E"/>
    <w:rsid w:val="000A05F0"/>
    <w:rsid w:val="000D32B3"/>
    <w:rsid w:val="001D7BD4"/>
    <w:rsid w:val="001E3AE1"/>
    <w:rsid w:val="001E7D74"/>
    <w:rsid w:val="00247DC1"/>
    <w:rsid w:val="0028107B"/>
    <w:rsid w:val="00356752"/>
    <w:rsid w:val="00385E41"/>
    <w:rsid w:val="003A19F1"/>
    <w:rsid w:val="00402547"/>
    <w:rsid w:val="00414B38"/>
    <w:rsid w:val="00416E7E"/>
    <w:rsid w:val="00451E2D"/>
    <w:rsid w:val="00480B64"/>
    <w:rsid w:val="00491A18"/>
    <w:rsid w:val="005E51D6"/>
    <w:rsid w:val="006B4CEF"/>
    <w:rsid w:val="006F54C6"/>
    <w:rsid w:val="00700212"/>
    <w:rsid w:val="007A28E5"/>
    <w:rsid w:val="007C4C41"/>
    <w:rsid w:val="007F34E8"/>
    <w:rsid w:val="00824859"/>
    <w:rsid w:val="00913F5B"/>
    <w:rsid w:val="00990583"/>
    <w:rsid w:val="009E5D36"/>
    <w:rsid w:val="00A2683E"/>
    <w:rsid w:val="00B359E8"/>
    <w:rsid w:val="00D77CFE"/>
    <w:rsid w:val="00E15ED4"/>
    <w:rsid w:val="00E26286"/>
    <w:rsid w:val="00E767BF"/>
    <w:rsid w:val="00E865C7"/>
    <w:rsid w:val="00E87644"/>
    <w:rsid w:val="00F1356C"/>
    <w:rsid w:val="00F157E7"/>
    <w:rsid w:val="00F62CE0"/>
    <w:rsid w:val="00F7291E"/>
    <w:rsid w:val="00FD7415"/>
    <w:rsid w:val="00FE55B3"/>
    <w:rsid w:val="00FF14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DF2D8"/>
  <w15:chartTrackingRefBased/>
  <w15:docId w15:val="{241FBA1E-EE28-4D26-AD3E-3351DB60A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F1450"/>
    <w:rPr>
      <w:sz w:val="16"/>
      <w:szCs w:val="16"/>
    </w:rPr>
  </w:style>
  <w:style w:type="paragraph" w:styleId="CommentText">
    <w:name w:val="annotation text"/>
    <w:basedOn w:val="Normal"/>
    <w:link w:val="CommentTextChar"/>
    <w:uiPriority w:val="99"/>
    <w:unhideWhenUsed/>
    <w:rsid w:val="00FF1450"/>
    <w:pPr>
      <w:spacing w:line="240" w:lineRule="auto"/>
    </w:pPr>
    <w:rPr>
      <w:sz w:val="20"/>
      <w:szCs w:val="20"/>
    </w:rPr>
  </w:style>
  <w:style w:type="character" w:customStyle="1" w:styleId="CommentTextChar">
    <w:name w:val="Comment Text Char"/>
    <w:basedOn w:val="DefaultParagraphFont"/>
    <w:link w:val="CommentText"/>
    <w:uiPriority w:val="99"/>
    <w:rsid w:val="00FF1450"/>
    <w:rPr>
      <w:sz w:val="20"/>
      <w:szCs w:val="20"/>
    </w:rPr>
  </w:style>
  <w:style w:type="paragraph" w:styleId="CommentSubject">
    <w:name w:val="annotation subject"/>
    <w:basedOn w:val="CommentText"/>
    <w:next w:val="CommentText"/>
    <w:link w:val="CommentSubjectChar"/>
    <w:uiPriority w:val="99"/>
    <w:semiHidden/>
    <w:unhideWhenUsed/>
    <w:rsid w:val="00FF1450"/>
    <w:rPr>
      <w:b/>
      <w:bCs/>
    </w:rPr>
  </w:style>
  <w:style w:type="character" w:customStyle="1" w:styleId="CommentSubjectChar">
    <w:name w:val="Comment Subject Char"/>
    <w:basedOn w:val="CommentTextChar"/>
    <w:link w:val="CommentSubject"/>
    <w:uiPriority w:val="99"/>
    <w:semiHidden/>
    <w:rsid w:val="00FF145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719</Words>
  <Characters>4102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Royal Bank of Canada</Company>
  <LinksUpToDate>false</LinksUpToDate>
  <CharactersWithSpaces>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Muhn, Zachariah C</dc:creator>
  <cp:keywords/>
  <dc:description/>
  <cp:lastModifiedBy>Mitchell, Jon</cp:lastModifiedBy>
  <cp:revision>2</cp:revision>
  <dcterms:created xsi:type="dcterms:W3CDTF">2025-10-31T16:32:00Z</dcterms:created>
  <dcterms:modified xsi:type="dcterms:W3CDTF">2025-10-31T16:32:00Z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8f99e99-9b44-4087-9344-0482001c1f1a_Enabled">
    <vt:lpwstr>true</vt:lpwstr>
  </property>
  <property fmtid="{D5CDD505-2E9C-101B-9397-08002B2CF9AE}" pid="3" name="MSIP_Label_b8f99e99-9b44-4087-9344-0482001c1f1a_Method">
    <vt:lpwstr>Privileged</vt:lpwstr>
  </property>
  <property fmtid="{D5CDD505-2E9C-101B-9397-08002B2CF9AE}" pid="4" name="MSIP_Label_b8f99e99-9b44-4087-9344-0482001c1f1a_SiteId">
    <vt:lpwstr>9323b596-236d-4890-bed3-60232a849027</vt:lpwstr>
  </property>
  <property fmtid="{D5CDD505-2E9C-101B-9397-08002B2CF9AE}" pid="5" name="Classification">
    <vt:lpwstr>TT_Public</vt:lpwstr>
  </property>
</Properties>
</file>