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8902E" w14:textId="11FB4F4C" w:rsidR="00C150F9" w:rsidRPr="00C150F9" w:rsidRDefault="00C150F9" w:rsidP="00716B87">
      <w:pPr>
        <w:rPr>
          <w:b/>
          <w:bCs/>
        </w:rPr>
      </w:pPr>
      <w:r w:rsidRPr="00C150F9">
        <w:rPr>
          <w:b/>
          <w:bCs/>
        </w:rPr>
        <w:t>Portfolio Advisory Group Update December 13</w:t>
      </w:r>
      <w:r w:rsidRPr="00C150F9">
        <w:rPr>
          <w:b/>
          <w:bCs/>
          <w:vertAlign w:val="superscript"/>
        </w:rPr>
        <w:t>th</w:t>
      </w:r>
      <w:r w:rsidRPr="00C150F9">
        <w:rPr>
          <w:b/>
          <w:bCs/>
        </w:rPr>
        <w:t xml:space="preserve"> 2024</w:t>
      </w:r>
    </w:p>
    <w:p w14:paraId="7F34F2F4" w14:textId="0460336B" w:rsidR="00716B87" w:rsidRDefault="00716B87" w:rsidP="00716B87">
      <w:r>
        <w:t xml:space="preserve">A continued decline in inflationary pressures, combined with ongoing signs of a cooling Canadian economy, </w:t>
      </w:r>
      <w:r w:rsidR="001A0E5A">
        <w:t xml:space="preserve">recently </w:t>
      </w:r>
      <w:r>
        <w:t xml:space="preserve">prompted the Bank of Canada (BoC) to </w:t>
      </w:r>
      <w:r w:rsidR="003E2378">
        <w:t>cut interest rates for the fifth consecutive time</w:t>
      </w:r>
      <w:r>
        <w:t xml:space="preserve">. In the U.S., the Federal Reserve is also expected to cut rates when it </w:t>
      </w:r>
      <w:r w:rsidR="00C26BE8">
        <w:t xml:space="preserve">next </w:t>
      </w:r>
      <w:r>
        <w:t>meets, though investors have tempered their expectations for how far the Fed will go amid resilient economic data. Below, we briefly review 2024 and look ahead to 2025.</w:t>
      </w:r>
    </w:p>
    <w:p w14:paraId="2D5986D5" w14:textId="340A6DB1" w:rsidR="00716B87" w:rsidRDefault="00716B87" w:rsidP="00716B87">
      <w:r>
        <w:t>Th</w:t>
      </w:r>
      <w:r w:rsidR="000473CB">
        <w:t>is</w:t>
      </w:r>
      <w:r>
        <w:t xml:space="preserve"> year, while not yet complete, </w:t>
      </w:r>
      <w:r w:rsidR="003E2378">
        <w:t>has been</w:t>
      </w:r>
      <w:r>
        <w:t xml:space="preserve"> another strong one for equity markets. Global stocks are up over 20% so far, led by North American equities. International and emerging markets have also </w:t>
      </w:r>
      <w:r w:rsidR="003E2378">
        <w:t xml:space="preserve">seen </w:t>
      </w:r>
      <w:r>
        <w:t xml:space="preserve">above-average returns, though these have been less pronounced. </w:t>
      </w:r>
      <w:r w:rsidR="003E2378">
        <w:t>M</w:t>
      </w:r>
      <w:r>
        <w:t xml:space="preserve">arket gains were </w:t>
      </w:r>
      <w:r w:rsidR="00E971BC">
        <w:t>led</w:t>
      </w:r>
      <w:r w:rsidR="000473CB">
        <w:t xml:space="preserve"> by</w:t>
      </w:r>
      <w:r w:rsidR="00C26BE8">
        <w:t xml:space="preserve"> </w:t>
      </w:r>
      <w:r>
        <w:t>the artificial intelligence theme, as investors anticipate a potential step change in future productivity and growth. The U.S. mega-cap “tech” stocks – commonly referred to as the “Magnificent 7” – have been the most direct beneficiaries, accounting for roughly half of U.S. equity market returns t</w:t>
      </w:r>
      <w:r w:rsidR="00C26BE8">
        <w:t>his year</w:t>
      </w:r>
      <w:r>
        <w:t>.</w:t>
      </w:r>
    </w:p>
    <w:p w14:paraId="5E966D86" w14:textId="6089A721" w:rsidR="00716B87" w:rsidRDefault="00716B87" w:rsidP="00716B87">
      <w:r>
        <w:t xml:space="preserve">In Canada, the technology sector has similarly had strong performance. The gold sector was </w:t>
      </w:r>
      <w:r w:rsidR="005B6C0F">
        <w:t xml:space="preserve">another </w:t>
      </w:r>
      <w:r>
        <w:t xml:space="preserve">standout as </w:t>
      </w:r>
      <w:r w:rsidR="005B6C0F">
        <w:t xml:space="preserve">emerging market </w:t>
      </w:r>
      <w:r>
        <w:t xml:space="preserve">central banks continued to purchase gold to diversify their reserves, driving the commodity to new highs. </w:t>
      </w:r>
      <w:r w:rsidR="00102384">
        <w:t>Notably</w:t>
      </w:r>
      <w:r>
        <w:t xml:space="preserve">, the financial sector contributed the most to the Canadian stock market’s strong returns. While </w:t>
      </w:r>
      <w:r w:rsidR="002B500D">
        <w:t xml:space="preserve">performance varied, sometimes widely, across individual banks, </w:t>
      </w:r>
      <w:r>
        <w:t xml:space="preserve">the group as a whole performed well as recession fears eased and businesses and households demonstrated greater resilience under the weight of high interest rates. </w:t>
      </w:r>
    </w:p>
    <w:p w14:paraId="4BF486D8" w14:textId="1BDD87D7" w:rsidR="00716B87" w:rsidRDefault="003E2378" w:rsidP="00716B87">
      <w:r>
        <w:t>This year</w:t>
      </w:r>
      <w:r w:rsidR="00716B87">
        <w:t xml:space="preserve"> marked a shift in central bank policy</w:t>
      </w:r>
      <w:r w:rsidR="002B500D">
        <w:t>,</w:t>
      </w:r>
      <w:r w:rsidR="00716B87">
        <w:t xml:space="preserve"> with m</w:t>
      </w:r>
      <w:r>
        <w:t>any</w:t>
      </w:r>
      <w:r w:rsidR="00716B87">
        <w:t xml:space="preserve"> </w:t>
      </w:r>
      <w:r>
        <w:t>cut</w:t>
      </w:r>
      <w:r w:rsidR="002B500D">
        <w:t>ting</w:t>
      </w:r>
      <w:r w:rsidR="00716B87">
        <w:t xml:space="preserve"> interest rates. That has fueled some hope of a better economic and earnings story </w:t>
      </w:r>
      <w:r>
        <w:t>in</w:t>
      </w:r>
      <w:r w:rsidR="00716B87">
        <w:t xml:space="preserve"> </w:t>
      </w:r>
      <w:r w:rsidR="002B500D">
        <w:t>2025 and has</w:t>
      </w:r>
      <w:r w:rsidR="00716B87">
        <w:t xml:space="preserve"> led to a broadening in the group of stocks and sectors participating in the market rally. Meanwhile, the bond market experienced less volatility, with yields fluctuating </w:t>
      </w:r>
      <w:r w:rsidR="002B500D">
        <w:t>with</w:t>
      </w:r>
      <w:r w:rsidR="00716B87">
        <w:t xml:space="preserve">in a narrow range as investors </w:t>
      </w:r>
      <w:r w:rsidR="002B500D">
        <w:t>gained</w:t>
      </w:r>
      <w:r w:rsidR="00716B87">
        <w:t xml:space="preserve"> confiden</w:t>
      </w:r>
      <w:r w:rsidR="002B500D">
        <w:t>ce</w:t>
      </w:r>
      <w:r w:rsidR="00716B87">
        <w:t xml:space="preserve"> in the outlook for inflation and growth. Th</w:t>
      </w:r>
      <w:r w:rsidR="002B500D">
        <w:t>is stability</w:t>
      </w:r>
      <w:r w:rsidR="00716B87">
        <w:t xml:space="preserve"> led to solid returns across </w:t>
      </w:r>
      <w:r w:rsidR="002B500D">
        <w:t xml:space="preserve">both </w:t>
      </w:r>
      <w:r w:rsidR="00716B87">
        <w:t>government and corporate bonds.</w:t>
      </w:r>
    </w:p>
    <w:p w14:paraId="2CC3F760" w14:textId="606D263C" w:rsidR="00716B87" w:rsidRDefault="00716B87" w:rsidP="00716B87">
      <w:r>
        <w:t xml:space="preserve">Looking ahead to 2025, we want to highlight our firm’s </w:t>
      </w:r>
      <w:hyperlink r:id="rId4" w:history="1">
        <w:r w:rsidR="00C26BE8">
          <w:rPr>
            <w:rStyle w:val="Hyperlink"/>
          </w:rPr>
          <w:t>Global Insight 2025 Outlook</w:t>
        </w:r>
      </w:hyperlink>
      <w:r>
        <w:t xml:space="preserve">. In it, our firm’s investment team is mindful that valuations – particularly in the U.S. equity market – are relatively high following another year of strong performance. Yet, valuations are supported by </w:t>
      </w:r>
      <w:r w:rsidR="00E971BC">
        <w:t>healthy</w:t>
      </w:r>
      <w:r>
        <w:t xml:space="preserve"> earnings growth and solid </w:t>
      </w:r>
      <w:r w:rsidR="00E971BC">
        <w:t xml:space="preserve">economic </w:t>
      </w:r>
      <w:r>
        <w:t xml:space="preserve">projections for both 2025 and 2026. </w:t>
      </w:r>
      <w:r w:rsidR="002B500D">
        <w:t xml:space="preserve">Moreover, a more supportive policy backdrop could allow </w:t>
      </w:r>
      <w:r>
        <w:t xml:space="preserve">valuations </w:t>
      </w:r>
      <w:r w:rsidR="002B500D">
        <w:t xml:space="preserve">to </w:t>
      </w:r>
      <w:r>
        <w:t xml:space="preserve">move higher still. In Canada, earnings growth is similarly expected to support a more reasonably valued stock market, though some uncertainty tied to the impact of tariffs </w:t>
      </w:r>
      <w:r w:rsidR="002B500D">
        <w:t>remains</w:t>
      </w:r>
      <w:r>
        <w:t xml:space="preserve">. </w:t>
      </w:r>
      <w:r w:rsidR="002B500D">
        <w:t>F</w:t>
      </w:r>
      <w:r>
        <w:t>or bonds, opportunities a</w:t>
      </w:r>
      <w:r w:rsidR="002B500D">
        <w:t>ppear</w:t>
      </w:r>
      <w:r>
        <w:t xml:space="preserve"> less compelling than they were a year ago</w:t>
      </w:r>
      <w:r w:rsidR="002B500D">
        <w:t>,</w:t>
      </w:r>
      <w:r>
        <w:t xml:space="preserve"> given lower yields and </w:t>
      </w:r>
      <w:r w:rsidR="002B500D">
        <w:t xml:space="preserve">narrower </w:t>
      </w:r>
      <w:r>
        <w:t xml:space="preserve">credit spreads. As a result, investors may need to </w:t>
      </w:r>
      <w:r w:rsidR="002B500D">
        <w:t>adopt a more</w:t>
      </w:r>
      <w:r>
        <w:t xml:space="preserve"> selective approach.</w:t>
      </w:r>
    </w:p>
    <w:p w14:paraId="74F5E2F5" w14:textId="01C7F182" w:rsidR="00716B87" w:rsidRDefault="00716B87" w:rsidP="00716B87">
      <w:r>
        <w:t xml:space="preserve">Overall, we </w:t>
      </w:r>
      <w:r w:rsidR="002B500D">
        <w:t>are</w:t>
      </w:r>
      <w:r>
        <w:t xml:space="preserve"> pleased with </w:t>
      </w:r>
      <w:r w:rsidR="002B500D">
        <w:t xml:space="preserve">the contributions that both </w:t>
      </w:r>
      <w:r>
        <w:t xml:space="preserve">stock and bond markets have </w:t>
      </w:r>
      <w:r w:rsidR="002B500D">
        <w:t>made</w:t>
      </w:r>
      <w:r>
        <w:t xml:space="preserve"> to our client portfolios this year. </w:t>
      </w:r>
      <w:r w:rsidR="001F650F">
        <w:t>And w</w:t>
      </w:r>
      <w:r w:rsidR="00D13CF4">
        <w:t xml:space="preserve">hile we see reasons to be optimistic about the year ahead, we are mindful that investor sentiment has become more positive and </w:t>
      </w:r>
      <w:r w:rsidR="00DC4C2C">
        <w:t xml:space="preserve">stock </w:t>
      </w:r>
      <w:r w:rsidR="00D13CF4">
        <w:t>price</w:t>
      </w:r>
      <w:r w:rsidR="001F650F">
        <w:t xml:space="preserve">s already reflect the expectation of higher growth next year. That </w:t>
      </w:r>
      <w:r w:rsidR="00E971BC">
        <w:t>has left</w:t>
      </w:r>
      <w:r w:rsidR="001F650F">
        <w:t xml:space="preserve"> markets a bit more vulnerable should </w:t>
      </w:r>
      <w:r w:rsidR="00DC4C2C">
        <w:t>economic and earnings developments fall short</w:t>
      </w:r>
      <w:r w:rsidR="00E971BC">
        <w:t xml:space="preserve"> of expectations</w:t>
      </w:r>
      <w:r w:rsidR="00DC4C2C">
        <w:t xml:space="preserve">. </w:t>
      </w:r>
      <w:r w:rsidR="003E2378">
        <w:t>W</w:t>
      </w:r>
      <w:r>
        <w:t>e e</w:t>
      </w:r>
      <w:r w:rsidR="003E2378">
        <w:t>cho</w:t>
      </w:r>
      <w:r>
        <w:t xml:space="preserve"> the sentiment expressed in our firm’s outlook: “watchful, cautious, but invested”.</w:t>
      </w:r>
    </w:p>
    <w:p w14:paraId="1810BCFA" w14:textId="77777777" w:rsidR="00716B87" w:rsidRDefault="00716B87" w:rsidP="00716B87">
      <w:r>
        <w:t xml:space="preserve">We extend our warmest wishes to you and your loved ones this holiday season and look forward to supporting you in the year ahead. </w:t>
      </w:r>
    </w:p>
    <w:p w14:paraId="04ACD3A2" w14:textId="6ECC3550" w:rsidR="001D493B" w:rsidRDefault="00716B87" w:rsidP="00716B87">
      <w:r>
        <w:t>Should you have any questions, please feel free to reach out.</w:t>
      </w:r>
      <w:r w:rsidR="000473CB">
        <w:t xml:space="preserve"> </w:t>
      </w:r>
    </w:p>
    <w:sectPr w:rsidR="001D49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B87"/>
    <w:rsid w:val="000473CB"/>
    <w:rsid w:val="00102384"/>
    <w:rsid w:val="001179FF"/>
    <w:rsid w:val="00155ED6"/>
    <w:rsid w:val="001A0E5A"/>
    <w:rsid w:val="001D493B"/>
    <w:rsid w:val="001F650F"/>
    <w:rsid w:val="00205AE5"/>
    <w:rsid w:val="00215D55"/>
    <w:rsid w:val="002B500D"/>
    <w:rsid w:val="003E2378"/>
    <w:rsid w:val="004A1F4D"/>
    <w:rsid w:val="005B6C0F"/>
    <w:rsid w:val="006E5E92"/>
    <w:rsid w:val="00716B87"/>
    <w:rsid w:val="00B33A23"/>
    <w:rsid w:val="00C150F9"/>
    <w:rsid w:val="00C2198D"/>
    <w:rsid w:val="00C26BE8"/>
    <w:rsid w:val="00D1150B"/>
    <w:rsid w:val="00D13CF4"/>
    <w:rsid w:val="00DC4C2C"/>
    <w:rsid w:val="00E971BC"/>
    <w:rsid w:val="00EA1675"/>
    <w:rsid w:val="00F06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AA4162"/>
  <w15:chartTrackingRefBased/>
  <w15:docId w15:val="{EA231D19-783B-4B30-B802-E042B4F8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E2378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215D55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C26BE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rbcwealthmanagement.com/assets/wp-content/uploads/documents/insights/global-insight-2025-outlook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572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Bank of Canada</Company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Bayko, Mark</dc:creator>
  <cp:keywords/>
  <dc:description/>
  <cp:lastModifiedBy>Lee, James B</cp:lastModifiedBy>
  <cp:revision>2</cp:revision>
  <dcterms:created xsi:type="dcterms:W3CDTF">2024-12-17T22:16:00Z</dcterms:created>
  <dcterms:modified xsi:type="dcterms:W3CDTF">2024-12-17T22:16:00Z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