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BC0B9DF" w14:textId="10D93F7B" w:rsidR="0025414E" w:rsidRDefault="0025414E" w:rsidP="00CF58D5">
      <w:pPr>
        <w:rPr>
          <w:lang w:val="en"/>
        </w:rPr>
      </w:pPr>
      <w:r>
        <w:rPr>
          <w:lang w:val="en"/>
        </w:rPr>
        <w:t>Portfolio Advisory Group Update – October 18</w:t>
      </w:r>
      <w:r w:rsidRPr="0025414E">
        <w:rPr>
          <w:vertAlign w:val="superscript"/>
          <w:lang w:val="en"/>
        </w:rPr>
        <w:t>th</w:t>
      </w:r>
      <w:r>
        <w:rPr>
          <w:lang w:val="en"/>
        </w:rPr>
        <w:t xml:space="preserve"> 2024</w:t>
      </w:r>
    </w:p>
    <w:p w14:paraId="741E5AFF" w14:textId="1BA77967" w:rsidR="00CF58D5" w:rsidRDefault="00CF58D5" w:rsidP="00CF58D5">
      <w:pPr>
        <w:rPr>
          <w:lang w:val="en-CA"/>
        </w:rPr>
      </w:pPr>
      <w:r w:rsidRPr="00D06DC0">
        <w:rPr>
          <w:lang w:val="en"/>
        </w:rPr>
        <w:t xml:space="preserve">North American equity markets continue to push </w:t>
      </w:r>
      <w:r>
        <w:rPr>
          <w:lang w:val="en"/>
        </w:rPr>
        <w:t xml:space="preserve">to </w:t>
      </w:r>
      <w:r w:rsidR="00242009">
        <w:rPr>
          <w:lang w:val="en"/>
        </w:rPr>
        <w:t>record</w:t>
      </w:r>
      <w:r>
        <w:rPr>
          <w:lang w:val="en"/>
        </w:rPr>
        <w:t xml:space="preserve"> highs</w:t>
      </w:r>
      <w:r w:rsidR="00242009">
        <w:rPr>
          <w:lang w:val="en"/>
        </w:rPr>
        <w:t xml:space="preserve">, </w:t>
      </w:r>
      <w:r w:rsidR="00B461B9">
        <w:rPr>
          <w:lang w:val="en"/>
        </w:rPr>
        <w:t>bolstered by a promising start</w:t>
      </w:r>
      <w:r w:rsidRPr="00D06DC0">
        <w:rPr>
          <w:lang w:val="en"/>
        </w:rPr>
        <w:t xml:space="preserve"> </w:t>
      </w:r>
      <w:r>
        <w:rPr>
          <w:lang w:val="en"/>
        </w:rPr>
        <w:t>to the U.S. third</w:t>
      </w:r>
      <w:r w:rsidR="00B461B9">
        <w:rPr>
          <w:lang w:val="en"/>
        </w:rPr>
        <w:t>-</w:t>
      </w:r>
      <w:r>
        <w:rPr>
          <w:lang w:val="en"/>
        </w:rPr>
        <w:t>quarter earnings season</w:t>
      </w:r>
      <w:r w:rsidR="00B461B9">
        <w:rPr>
          <w:lang w:val="en"/>
        </w:rPr>
        <w:t xml:space="preserve">. The results from major banks signal a healthy </w:t>
      </w:r>
      <w:r w:rsidR="00F565C7">
        <w:rPr>
          <w:lang w:val="en"/>
        </w:rPr>
        <w:t xml:space="preserve">U.S. </w:t>
      </w:r>
      <w:r w:rsidR="00B461B9">
        <w:rPr>
          <w:lang w:val="en"/>
        </w:rPr>
        <w:t xml:space="preserve">consumer, with spending supported by </w:t>
      </w:r>
      <w:r>
        <w:rPr>
          <w:lang w:val="en"/>
        </w:rPr>
        <w:t xml:space="preserve">a resilient labour market, despite some </w:t>
      </w:r>
      <w:r w:rsidR="00B461B9">
        <w:rPr>
          <w:lang w:val="en"/>
        </w:rPr>
        <w:t xml:space="preserve">softness </w:t>
      </w:r>
      <w:r>
        <w:rPr>
          <w:lang w:val="en"/>
        </w:rPr>
        <w:t xml:space="preserve">among lower-income </w:t>
      </w:r>
      <w:r w:rsidR="00B461B9">
        <w:rPr>
          <w:lang w:val="en"/>
        </w:rPr>
        <w:t>households</w:t>
      </w:r>
      <w:r>
        <w:rPr>
          <w:lang w:val="en"/>
        </w:rPr>
        <w:t xml:space="preserve">. Historically, </w:t>
      </w:r>
      <w:r w:rsidR="00B461B9">
        <w:rPr>
          <w:lang w:val="en"/>
        </w:rPr>
        <w:t>periods of</w:t>
      </w:r>
      <w:r>
        <w:rPr>
          <w:lang w:val="en"/>
        </w:rPr>
        <w:t xml:space="preserve"> declining interest rates</w:t>
      </w:r>
      <w:r w:rsidR="00B461B9">
        <w:t xml:space="preserve"> – </w:t>
      </w:r>
      <w:r w:rsidR="00B461B9" w:rsidRPr="00B461B9">
        <w:t>especially</w:t>
      </w:r>
      <w:r w:rsidR="00B461B9">
        <w:t xml:space="preserve"> </w:t>
      </w:r>
      <w:r w:rsidR="00B461B9" w:rsidRPr="00B461B9">
        <w:t>amid a “soft landing” scenario</w:t>
      </w:r>
      <w:r w:rsidR="00F043F5">
        <w:t xml:space="preserve"> where the economy continues to grow</w:t>
      </w:r>
      <w:r w:rsidR="00B461B9">
        <w:t xml:space="preserve"> – </w:t>
      </w:r>
      <w:r w:rsidR="00B461B9" w:rsidRPr="00B461B9">
        <w:t>create</w:t>
      </w:r>
      <w:r w:rsidR="00B461B9">
        <w:t xml:space="preserve"> </w:t>
      </w:r>
      <w:r w:rsidR="00B461B9" w:rsidRPr="00B461B9">
        <w:t xml:space="preserve">favourable conditions for investment returns. </w:t>
      </w:r>
      <w:r>
        <w:rPr>
          <w:lang w:val="en"/>
        </w:rPr>
        <w:t xml:space="preserve">Below, we discuss </w:t>
      </w:r>
      <w:r w:rsidR="00F043F5">
        <w:rPr>
          <w:lang w:val="en"/>
        </w:rPr>
        <w:t xml:space="preserve">the potential for a more meaningful divergence in the path of interest rates in Canada and the U.S., </w:t>
      </w:r>
      <w:r w:rsidR="00B461B9">
        <w:rPr>
          <w:lang w:val="en"/>
        </w:rPr>
        <w:t xml:space="preserve">with implications </w:t>
      </w:r>
      <w:r>
        <w:rPr>
          <w:lang w:val="en"/>
        </w:rPr>
        <w:t xml:space="preserve">for the Canadian dollar.  </w:t>
      </w:r>
    </w:p>
    <w:p w14:paraId="4640F814" w14:textId="1C30DA41" w:rsidR="00AF3A17" w:rsidRPr="00721FD9" w:rsidRDefault="00AF3A17" w:rsidP="000111F8">
      <w:pPr>
        <w:rPr>
          <w:lang w:val="en-CA"/>
        </w:rPr>
      </w:pPr>
      <w:r>
        <w:rPr>
          <w:lang w:val="en-CA"/>
        </w:rPr>
        <w:t>Canad</w:t>
      </w:r>
      <w:r w:rsidR="00B461B9">
        <w:rPr>
          <w:lang w:val="en-CA"/>
        </w:rPr>
        <w:t>a’s</w:t>
      </w:r>
      <w:r>
        <w:rPr>
          <w:lang w:val="en-CA"/>
        </w:rPr>
        <w:t xml:space="preserve"> inflation </w:t>
      </w:r>
      <w:r w:rsidR="00B461B9">
        <w:rPr>
          <w:lang w:val="en-CA"/>
        </w:rPr>
        <w:t>report</w:t>
      </w:r>
      <w:r>
        <w:rPr>
          <w:lang w:val="en-CA"/>
        </w:rPr>
        <w:t xml:space="preserve"> for September</w:t>
      </w:r>
      <w:r w:rsidR="00F043F5">
        <w:rPr>
          <w:lang w:val="en-CA"/>
        </w:rPr>
        <w:t xml:space="preserve"> was released over the past week, and it</w:t>
      </w:r>
      <w:r>
        <w:rPr>
          <w:lang w:val="en-CA"/>
        </w:rPr>
        <w:t xml:space="preserve"> </w:t>
      </w:r>
      <w:r w:rsidR="00F043F5">
        <w:rPr>
          <w:lang w:val="en-CA"/>
        </w:rPr>
        <w:t>decelerated</w:t>
      </w:r>
      <w:r w:rsidR="00B461B9">
        <w:rPr>
          <w:lang w:val="en-CA"/>
        </w:rPr>
        <w:t xml:space="preserve"> more </w:t>
      </w:r>
      <w:r>
        <w:rPr>
          <w:lang w:val="en-CA"/>
        </w:rPr>
        <w:t xml:space="preserve">than expected, with the overall Consumer Price Index (CPI) </w:t>
      </w:r>
      <w:r w:rsidR="0093211D" w:rsidRPr="0093211D">
        <w:t>dipping below the Bank of Canada’s (BoC) 2% target for the first time since early 2021.</w:t>
      </w:r>
      <w:r w:rsidR="0093211D">
        <w:t xml:space="preserve"> </w:t>
      </w:r>
      <w:r>
        <w:rPr>
          <w:lang w:val="en-CA"/>
        </w:rPr>
        <w:t>Falling gasoline prices contributed to much of the decline, so the “core” inflation measure, which remove</w:t>
      </w:r>
      <w:r w:rsidR="00F043F5">
        <w:rPr>
          <w:lang w:val="en-CA"/>
        </w:rPr>
        <w:t>s</w:t>
      </w:r>
      <w:r>
        <w:rPr>
          <w:lang w:val="en-CA"/>
        </w:rPr>
        <w:t xml:space="preserve"> more volatile categories such as energy and food, held steady </w:t>
      </w:r>
      <w:r w:rsidR="00F043F5">
        <w:rPr>
          <w:lang w:val="en-CA"/>
        </w:rPr>
        <w:t>above 2%</w:t>
      </w:r>
      <w:r>
        <w:rPr>
          <w:lang w:val="en-CA"/>
        </w:rPr>
        <w:t xml:space="preserve">. </w:t>
      </w:r>
      <w:r w:rsidR="00037E40">
        <w:rPr>
          <w:lang w:val="en-CA"/>
        </w:rPr>
        <w:t xml:space="preserve">Meanwhile, </w:t>
      </w:r>
      <w:r>
        <w:rPr>
          <w:lang w:val="en-CA"/>
        </w:rPr>
        <w:t xml:space="preserve">housing-related categories remained the largest contributors to inflation, </w:t>
      </w:r>
      <w:r w:rsidR="00F043F5">
        <w:rPr>
          <w:lang w:val="en-CA"/>
        </w:rPr>
        <w:t>but</w:t>
      </w:r>
      <w:r>
        <w:rPr>
          <w:lang w:val="en-CA"/>
        </w:rPr>
        <w:t xml:space="preserve"> mortgage interest costs and rent </w:t>
      </w:r>
      <w:r w:rsidR="00F043F5">
        <w:rPr>
          <w:lang w:val="en-CA"/>
        </w:rPr>
        <w:t>pressures also continue</w:t>
      </w:r>
      <w:r w:rsidR="00457EDA">
        <w:rPr>
          <w:lang w:val="en-CA"/>
        </w:rPr>
        <w:t xml:space="preserve">d </w:t>
      </w:r>
      <w:r w:rsidR="00F043F5">
        <w:rPr>
          <w:lang w:val="en-CA"/>
        </w:rPr>
        <w:t>to recede from high levels</w:t>
      </w:r>
      <w:r>
        <w:rPr>
          <w:lang w:val="en-CA"/>
        </w:rPr>
        <w:t xml:space="preserve">. Also encouraging, the breadth of inflation narrowed further towards pre-pandemic norms, </w:t>
      </w:r>
      <w:r w:rsidR="00457EDA">
        <w:rPr>
          <w:lang w:val="en-CA"/>
        </w:rPr>
        <w:t xml:space="preserve">suggesting that an </w:t>
      </w:r>
      <w:r w:rsidR="00457EDA" w:rsidRPr="00721FD9">
        <w:rPr>
          <w:lang w:val="en-CA"/>
        </w:rPr>
        <w:t>increasing amount of every-day goods and services are seeing less intense pricing pressures.</w:t>
      </w:r>
    </w:p>
    <w:p w14:paraId="403AC9CC" w14:textId="02AFB85A" w:rsidR="00CE0AC9" w:rsidRPr="00721FD9" w:rsidRDefault="00CE0AC9" w:rsidP="00393F32">
      <w:r w:rsidRPr="00721FD9">
        <w:t xml:space="preserve">In recent months, the Bank of Canada has telegraphed a shift in its priorities. More specifically, it is increasingly turning its attention to </w:t>
      </w:r>
      <w:r w:rsidR="00D15B90" w:rsidRPr="00721FD9">
        <w:t xml:space="preserve">ways it can better support </w:t>
      </w:r>
      <w:r w:rsidRPr="00721FD9">
        <w:t xml:space="preserve">economic growth given the declines witnessed to date with inflation. It has already cut its policy rate three times since the summer. </w:t>
      </w:r>
      <w:r w:rsidR="00D15B90" w:rsidRPr="00721FD9">
        <w:t xml:space="preserve">Moreover, given recent inflation figures, markets now expect the Bank of Canada to approach </w:t>
      </w:r>
      <w:r w:rsidR="00B92E01" w:rsidRPr="00721FD9">
        <w:t>its</w:t>
      </w:r>
      <w:r w:rsidR="00D15B90" w:rsidRPr="00721FD9">
        <w:t xml:space="preserve"> interest rate</w:t>
      </w:r>
      <w:r w:rsidR="00B92E01" w:rsidRPr="00721FD9">
        <w:t xml:space="preserve"> policy</w:t>
      </w:r>
      <w:r w:rsidR="00D15B90" w:rsidRPr="00721FD9">
        <w:t xml:space="preserve"> more aggressively. </w:t>
      </w:r>
      <w:r w:rsidR="00B92E01" w:rsidRPr="00721FD9">
        <w:t>T</w:t>
      </w:r>
      <w:r w:rsidR="00D15B90" w:rsidRPr="00721FD9">
        <w:t>he consensus view is the Bank will cut interest rates by half a percent when it meets within the next week. And some</w:t>
      </w:r>
      <w:r w:rsidR="00B92E01" w:rsidRPr="00721FD9">
        <w:t xml:space="preserve"> economists</w:t>
      </w:r>
      <w:r w:rsidR="00D15B90" w:rsidRPr="00721FD9">
        <w:t>, including at our firm, expect Canadian policymakers to remain aggressive heading into the end of the year and into next year. Meanwhile, U.S. economic indicators continue to</w:t>
      </w:r>
      <w:r w:rsidR="00B92E01" w:rsidRPr="00721FD9">
        <w:t xml:space="preserve"> be sturdier</w:t>
      </w:r>
      <w:r w:rsidR="00D15B90" w:rsidRPr="00721FD9">
        <w:t>, as evidenced by the most recent retail sales figure released over the past week that sugges</w:t>
      </w:r>
      <w:r w:rsidR="00B92E01" w:rsidRPr="00721FD9">
        <w:t>ts</w:t>
      </w:r>
      <w:r w:rsidR="00D15B90" w:rsidRPr="00721FD9">
        <w:t xml:space="preserve"> the consumer </w:t>
      </w:r>
      <w:r w:rsidR="00B92E01" w:rsidRPr="00721FD9">
        <w:t>remains healthy</w:t>
      </w:r>
      <w:r w:rsidR="00D15B90" w:rsidRPr="00721FD9">
        <w:t xml:space="preserve">. While the U.S. Federal Reserve has also </w:t>
      </w:r>
      <w:r w:rsidR="00B92E01" w:rsidRPr="00721FD9">
        <w:t>started</w:t>
      </w:r>
      <w:r w:rsidR="00D15B90" w:rsidRPr="00721FD9">
        <w:t xml:space="preserve"> to cut interest rates and is expected to continue to do so, there may be less of a case for the kind of aggressive approach that is expected from the Bank of Canada. </w:t>
      </w:r>
      <w:r w:rsidR="00B92E01" w:rsidRPr="00721FD9">
        <w:t xml:space="preserve">At some point next year, there is the potential that interest rates in Canada could sit meaningfully below interest rates in the U.S. </w:t>
      </w:r>
    </w:p>
    <w:p w14:paraId="7A2F583F" w14:textId="6877571F" w:rsidR="00393F32" w:rsidRDefault="00393F32" w:rsidP="00393F32">
      <w:r w:rsidRPr="00721FD9">
        <w:t xml:space="preserve">Interest rate differentials </w:t>
      </w:r>
      <w:r w:rsidR="00457EDA" w:rsidRPr="00721FD9">
        <w:t xml:space="preserve">– the difference between short-term interest rates between countries - </w:t>
      </w:r>
      <w:r w:rsidRPr="00721FD9">
        <w:t>often</w:t>
      </w:r>
      <w:r w:rsidRPr="00393F32">
        <w:t xml:space="preserve"> influence currency flows, as funds gravitate towards higher-yielding currencies, strengthening their value relative to lower-yielding ones. In recent weeks, this trend has propelled the U.S. dollar higher against other major currencies, including the Canadian dollar. </w:t>
      </w:r>
      <w:r>
        <w:t>T</w:t>
      </w:r>
      <w:r w:rsidRPr="00393F32">
        <w:t>he Canadian dollar could experience further downside if the interest rate divergence between the U.S. and Canada widens</w:t>
      </w:r>
      <w:r>
        <w:t xml:space="preserve">, as some </w:t>
      </w:r>
      <w:r w:rsidR="00B92E01">
        <w:t>are predicting.</w:t>
      </w:r>
    </w:p>
    <w:p w14:paraId="3EB0D394" w14:textId="3D322EB5" w:rsidR="00721FD9" w:rsidRPr="00393F32" w:rsidRDefault="00721FD9" w:rsidP="00393F32">
      <w:r>
        <w:t xml:space="preserve">We are mindful of the risks of further downside to the Canadian dollar should </w:t>
      </w:r>
      <w:r w:rsidR="000C4B69">
        <w:t xml:space="preserve">interest rates meaningfully diverge. But we also see the potential over the next few years for lower interest rates to stabilize and improve the growth outlook in Canada by providing some relief to consumers and businesses. After all, the Canadian economy is sensitive to interest rates, and arguably more so than the United States. </w:t>
      </w:r>
      <w:r w:rsidR="00AC64C0">
        <w:t>For now,</w:t>
      </w:r>
      <w:r w:rsidR="000C4B69">
        <w:t xml:space="preserve"> we continue to view our U.S. dollar exposure </w:t>
      </w:r>
      <w:r w:rsidR="00484BB5">
        <w:t>in our clients’ portfolios as offering important diversification and protection in today’s environment.</w:t>
      </w:r>
    </w:p>
    <w:p w14:paraId="7360EFAD" w14:textId="728736BC" w:rsidR="00B84FF8" w:rsidRPr="00393F32" w:rsidRDefault="00E15E65" w:rsidP="00393F32">
      <w:r w:rsidRPr="00E15E65">
        <w:t>Should you have any questions, please feel free to reach out.</w:t>
      </w:r>
    </w:p>
    <w:sectPr w:rsidR="00B84FF8" w:rsidRPr="00393F32">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F58D5"/>
    <w:rsid w:val="000111F8"/>
    <w:rsid w:val="00037E40"/>
    <w:rsid w:val="000C4B69"/>
    <w:rsid w:val="002130A4"/>
    <w:rsid w:val="00242009"/>
    <w:rsid w:val="00251BE9"/>
    <w:rsid w:val="0025414E"/>
    <w:rsid w:val="00265355"/>
    <w:rsid w:val="00274EE8"/>
    <w:rsid w:val="00285685"/>
    <w:rsid w:val="002B7AE3"/>
    <w:rsid w:val="00393F32"/>
    <w:rsid w:val="003B3F6C"/>
    <w:rsid w:val="00443C60"/>
    <w:rsid w:val="00457EDA"/>
    <w:rsid w:val="00484BB5"/>
    <w:rsid w:val="00486EF0"/>
    <w:rsid w:val="004A1D53"/>
    <w:rsid w:val="004B6DF3"/>
    <w:rsid w:val="005024D5"/>
    <w:rsid w:val="00702D20"/>
    <w:rsid w:val="00721FD9"/>
    <w:rsid w:val="00733EAB"/>
    <w:rsid w:val="00795DCF"/>
    <w:rsid w:val="008051C9"/>
    <w:rsid w:val="008426BF"/>
    <w:rsid w:val="008F1D75"/>
    <w:rsid w:val="0093211D"/>
    <w:rsid w:val="009E5DB3"/>
    <w:rsid w:val="00AC64C0"/>
    <w:rsid w:val="00AE3F68"/>
    <w:rsid w:val="00AF3A17"/>
    <w:rsid w:val="00B119BB"/>
    <w:rsid w:val="00B134D5"/>
    <w:rsid w:val="00B24B9B"/>
    <w:rsid w:val="00B461B9"/>
    <w:rsid w:val="00B54F36"/>
    <w:rsid w:val="00B84FF8"/>
    <w:rsid w:val="00B92E01"/>
    <w:rsid w:val="00C373D0"/>
    <w:rsid w:val="00C57410"/>
    <w:rsid w:val="00CE0AC9"/>
    <w:rsid w:val="00CF58D5"/>
    <w:rsid w:val="00D15B90"/>
    <w:rsid w:val="00D26FA5"/>
    <w:rsid w:val="00D84A1D"/>
    <w:rsid w:val="00DC1980"/>
    <w:rsid w:val="00DE4773"/>
    <w:rsid w:val="00E15E65"/>
    <w:rsid w:val="00EA4BF5"/>
    <w:rsid w:val="00EC0D62"/>
    <w:rsid w:val="00F043F5"/>
    <w:rsid w:val="00F565C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1C334A4"/>
  <w15:chartTrackingRefBased/>
  <w15:docId w15:val="{6A8C2B9E-DE3D-4BAE-AAEB-9DE9CFF0526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3235026">
      <w:bodyDiv w:val="1"/>
      <w:marLeft w:val="0"/>
      <w:marRight w:val="0"/>
      <w:marTop w:val="0"/>
      <w:marBottom w:val="0"/>
      <w:divBdr>
        <w:top w:val="none" w:sz="0" w:space="0" w:color="auto"/>
        <w:left w:val="none" w:sz="0" w:space="0" w:color="auto"/>
        <w:bottom w:val="none" w:sz="0" w:space="0" w:color="auto"/>
        <w:right w:val="none" w:sz="0" w:space="0" w:color="auto"/>
      </w:divBdr>
    </w:div>
    <w:div w:id="315457403">
      <w:bodyDiv w:val="1"/>
      <w:marLeft w:val="0"/>
      <w:marRight w:val="0"/>
      <w:marTop w:val="0"/>
      <w:marBottom w:val="0"/>
      <w:divBdr>
        <w:top w:val="none" w:sz="0" w:space="0" w:color="auto"/>
        <w:left w:val="none" w:sz="0" w:space="0" w:color="auto"/>
        <w:bottom w:val="none" w:sz="0" w:space="0" w:color="auto"/>
        <w:right w:val="none" w:sz="0" w:space="0" w:color="auto"/>
      </w:divBdr>
    </w:div>
    <w:div w:id="1334989051">
      <w:bodyDiv w:val="1"/>
      <w:marLeft w:val="0"/>
      <w:marRight w:val="0"/>
      <w:marTop w:val="0"/>
      <w:marBottom w:val="0"/>
      <w:divBdr>
        <w:top w:val="none" w:sz="0" w:space="0" w:color="auto"/>
        <w:left w:val="none" w:sz="0" w:space="0" w:color="auto"/>
        <w:bottom w:val="none" w:sz="0" w:space="0" w:color="auto"/>
        <w:right w:val="none" w:sz="0" w:space="0" w:color="auto"/>
      </w:divBdr>
    </w:div>
    <w:div w:id="14269187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1</Pages>
  <Words>580</Words>
  <Characters>3306</Characters>
  <Application>Microsoft Office Word</Application>
  <DocSecurity>0</DocSecurity>
  <Lines>27</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3879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Humbert, Claudia CH</dc:creator>
  <cp:keywords/>
  <dc:description/>
  <cp:lastModifiedBy>Mitchell, Jon</cp:lastModifiedBy>
  <cp:revision>2</cp:revision>
  <dcterms:created xsi:type="dcterms:W3CDTF">2024-10-18T16:22:00Z</dcterms:created>
  <dcterms:modified xsi:type="dcterms:W3CDTF">2024-10-18T16:22:00Z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b8f99e99-9b44-4087-9344-0482001c1f1a_Enabled">
    <vt:lpwstr>true</vt:lpwstr>
  </property>
  <property fmtid="{D5CDD505-2E9C-101B-9397-08002B2CF9AE}" pid="3" name="MSIP_Label_b8f99e99-9b44-4087-9344-0482001c1f1a_Method">
    <vt:lpwstr>Privileged</vt:lpwstr>
  </property>
  <property fmtid="{D5CDD505-2E9C-101B-9397-08002B2CF9AE}" pid="4" name="MSIP_Label_b8f99e99-9b44-4087-9344-0482001c1f1a_SiteId">
    <vt:lpwstr>9323b596-236d-4890-bed3-60232a849027</vt:lpwstr>
  </property>
  <property fmtid="{D5CDD505-2E9C-101B-9397-08002B2CF9AE}" pid="5" name="Classification">
    <vt:lpwstr>TT_Public</vt:lpwstr>
  </property>
</Properties>
</file>