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37611B" w14:textId="77777777" w:rsidR="00604010" w:rsidRDefault="00604010" w:rsidP="006616AE">
      <w:bookmarkStart w:id="0" w:name="_Hlk166792038"/>
      <w:bookmarkStart w:id="1" w:name="_Hlk165390163"/>
    </w:p>
    <w:p w14:paraId="32E31A85" w14:textId="4BA73AA5" w:rsidR="00604010" w:rsidRPr="00604010" w:rsidRDefault="00604010" w:rsidP="006616AE">
      <w:pPr>
        <w:rPr>
          <w:b/>
          <w:bCs/>
        </w:rPr>
      </w:pPr>
      <w:r w:rsidRPr="00604010">
        <w:rPr>
          <w:b/>
          <w:bCs/>
        </w:rPr>
        <w:t>Portfolio Advisory Group Update May 17</w:t>
      </w:r>
      <w:r w:rsidRPr="00604010">
        <w:rPr>
          <w:b/>
          <w:bCs/>
          <w:vertAlign w:val="superscript"/>
        </w:rPr>
        <w:t>th</w:t>
      </w:r>
    </w:p>
    <w:p w14:paraId="353EA15A" w14:textId="61952CC3" w:rsidR="00E8113E" w:rsidRDefault="00E8113E" w:rsidP="006616AE">
      <w:r>
        <w:t>May has been</w:t>
      </w:r>
      <w:r w:rsidR="00C25EDD">
        <w:t xml:space="preserve"> a</w:t>
      </w:r>
      <w:r>
        <w:t xml:space="preserve"> noticeably better</w:t>
      </w:r>
      <w:r w:rsidR="00C25EDD">
        <w:t xml:space="preserve"> month</w:t>
      </w:r>
      <w:r>
        <w:t xml:space="preserve"> for global markets</w:t>
      </w:r>
      <w:r w:rsidR="00EF0203">
        <w:t xml:space="preserve">, </w:t>
      </w:r>
      <w:r>
        <w:t xml:space="preserve">largely fueled by data </w:t>
      </w:r>
      <w:r w:rsidR="00EF0203">
        <w:t>from</w:t>
      </w:r>
      <w:r>
        <w:t xml:space="preserve"> the U.S. A weaker pace of job growth and</w:t>
      </w:r>
      <w:r w:rsidR="00C25EDD">
        <w:t xml:space="preserve"> </w:t>
      </w:r>
      <w:r>
        <w:t xml:space="preserve">inflation numbers that did not show the kind of acceleration </w:t>
      </w:r>
      <w:r w:rsidR="00781E1E">
        <w:t>seen</w:t>
      </w:r>
      <w:r>
        <w:t xml:space="preserve"> in prior months </w:t>
      </w:r>
      <w:r w:rsidR="00781E1E">
        <w:t>have</w:t>
      </w:r>
      <w:r>
        <w:t xml:space="preserve"> rekindle</w:t>
      </w:r>
      <w:r w:rsidR="00781E1E">
        <w:t>d</w:t>
      </w:r>
      <w:r>
        <w:t xml:space="preserve"> hopes that the U.S. Federal Reserve </w:t>
      </w:r>
      <w:r w:rsidR="00781E1E">
        <w:t xml:space="preserve">may </w:t>
      </w:r>
      <w:r>
        <w:t>start cutting interest rates in the second half of the year</w:t>
      </w:r>
      <w:r w:rsidR="001B001C">
        <w:t>.</w:t>
      </w:r>
      <w:r>
        <w:t xml:space="preserve"> This week, we </w:t>
      </w:r>
      <w:r w:rsidR="00282E74">
        <w:t>turn our attention to</w:t>
      </w:r>
      <w:r>
        <w:t xml:space="preserve"> </w:t>
      </w:r>
      <w:r w:rsidR="002140D8">
        <w:t xml:space="preserve">an important challenge facing </w:t>
      </w:r>
      <w:r w:rsidR="00B13D2B">
        <w:t xml:space="preserve">many </w:t>
      </w:r>
      <w:r w:rsidR="002140D8">
        <w:t xml:space="preserve">Canadian households: </w:t>
      </w:r>
      <w:r w:rsidR="001B001C">
        <w:t>the meaningful rise i</w:t>
      </w:r>
      <w:r w:rsidR="00B13D2B">
        <w:t>n the cost of mortgages and rents.</w:t>
      </w:r>
    </w:p>
    <w:p w14:paraId="02AA0314" w14:textId="44A4286D" w:rsidR="000E547E" w:rsidRDefault="00857F60" w:rsidP="00610FF3">
      <w:r>
        <w:t>Based on figu</w:t>
      </w:r>
      <w:r w:rsidR="001B001C">
        <w:t>res from a year ago</w:t>
      </w:r>
      <w:r>
        <w:t xml:space="preserve">, </w:t>
      </w:r>
      <w:r w:rsidR="001B001C">
        <w:t xml:space="preserve">nearly 40% of </w:t>
      </w:r>
      <w:r>
        <w:t xml:space="preserve">Canadian households </w:t>
      </w:r>
      <w:r w:rsidR="001B001C">
        <w:t xml:space="preserve">are renters </w:t>
      </w:r>
      <w:r>
        <w:t xml:space="preserve">and just over 60% </w:t>
      </w:r>
      <w:r w:rsidR="00BB5757">
        <w:t xml:space="preserve">are </w:t>
      </w:r>
      <w:r w:rsidR="00781E1E">
        <w:t>home</w:t>
      </w:r>
      <w:r>
        <w:t>owners. Of the latter, just over half have mortgages w</w:t>
      </w:r>
      <w:r w:rsidR="001B001C">
        <w:t>hile</w:t>
      </w:r>
      <w:r>
        <w:t xml:space="preserve"> the remainder own their homes </w:t>
      </w:r>
      <w:r w:rsidR="00684BD5">
        <w:t>outright</w:t>
      </w:r>
      <w:r w:rsidR="00610FF3">
        <w:t xml:space="preserve">. </w:t>
      </w:r>
      <w:r w:rsidR="00EC1632">
        <w:t xml:space="preserve">Since the Bank of Canada began hiking rates in 2022, </w:t>
      </w:r>
      <w:r w:rsidR="003778EC">
        <w:t xml:space="preserve">raising </w:t>
      </w:r>
      <w:r w:rsidR="00EC1632">
        <w:t>their policy rate from a low of 0.25% to a high of 5</w:t>
      </w:r>
      <w:r w:rsidR="006E5C85">
        <w:t>.00</w:t>
      </w:r>
      <w:r w:rsidR="00EC1632">
        <w:t xml:space="preserve">% today, </w:t>
      </w:r>
      <w:r w:rsidR="003778EC">
        <w:t>approximately</w:t>
      </w:r>
      <w:r w:rsidR="00EC1632">
        <w:t xml:space="preserve"> half of Canadian</w:t>
      </w:r>
      <w:r w:rsidR="001B001C">
        <w:t xml:space="preserve"> </w:t>
      </w:r>
      <w:r w:rsidR="00EC1632">
        <w:t>mortgage</w:t>
      </w:r>
      <w:r w:rsidR="003778EC">
        <w:t xml:space="preserve"> </w:t>
      </w:r>
      <w:r w:rsidR="00EC1632">
        <w:t xml:space="preserve">holders have refinanced at higher rates. </w:t>
      </w:r>
      <w:r w:rsidR="00BB5757">
        <w:t>Th</w:t>
      </w:r>
      <w:r w:rsidR="003778EC">
        <w:t>is has led to</w:t>
      </w:r>
      <w:r w:rsidR="00BB5757">
        <w:t xml:space="preserve"> </w:t>
      </w:r>
      <w:r w:rsidR="003778EC">
        <w:t>a</w:t>
      </w:r>
      <w:r w:rsidR="00BB5757">
        <w:t xml:space="preserve"> significant uptick in mortgage interest costs, which have </w:t>
      </w:r>
      <w:r w:rsidR="00B7460D">
        <w:t>been rising b</w:t>
      </w:r>
      <w:r w:rsidR="006E5C85">
        <w:t xml:space="preserve">y </w:t>
      </w:r>
      <w:r w:rsidR="000E547E">
        <w:t>well</w:t>
      </w:r>
      <w:r w:rsidR="003778EC">
        <w:t xml:space="preserve"> over</w:t>
      </w:r>
      <w:r w:rsidR="00BB5757">
        <w:t xml:space="preserve"> 20% year</w:t>
      </w:r>
      <w:r w:rsidR="00B7460D">
        <w:t>-</w:t>
      </w:r>
      <w:r w:rsidR="00BB5757">
        <w:t>over</w:t>
      </w:r>
      <w:r w:rsidR="00B7460D">
        <w:t>-</w:t>
      </w:r>
      <w:r w:rsidR="00BB5757">
        <w:t>year</w:t>
      </w:r>
      <w:r w:rsidR="000E547E">
        <w:t xml:space="preserve">. </w:t>
      </w:r>
      <w:r w:rsidR="00183B07">
        <w:t>While the</w:t>
      </w:r>
      <w:r w:rsidR="002140D8">
        <w:t xml:space="preserve"> rate of</w:t>
      </w:r>
      <w:r w:rsidR="00183B07">
        <w:t xml:space="preserve"> </w:t>
      </w:r>
      <w:r w:rsidR="003778EC">
        <w:t>increase in</w:t>
      </w:r>
      <w:r w:rsidR="00183B07">
        <w:t xml:space="preserve"> mortgage cost</w:t>
      </w:r>
      <w:r w:rsidR="003778EC">
        <w:t>s</w:t>
      </w:r>
      <w:r w:rsidR="00183B07">
        <w:t xml:space="preserve"> has </w:t>
      </w:r>
      <w:r w:rsidR="003778EC">
        <w:t xml:space="preserve">slowed </w:t>
      </w:r>
      <w:r w:rsidR="00183B07">
        <w:t>modestly</w:t>
      </w:r>
      <w:r w:rsidR="002140D8">
        <w:t xml:space="preserve"> over the past number of months</w:t>
      </w:r>
      <w:r w:rsidR="00183B07">
        <w:t xml:space="preserve">, </w:t>
      </w:r>
      <w:r w:rsidR="00B7460D">
        <w:t xml:space="preserve">it </w:t>
      </w:r>
      <w:r w:rsidR="003778EC">
        <w:t>remains</w:t>
      </w:r>
      <w:r w:rsidR="006E5C85">
        <w:t xml:space="preserve"> one of the biggest contributors to Canad</w:t>
      </w:r>
      <w:r w:rsidR="00183B07">
        <w:t>ian inflation</w:t>
      </w:r>
      <w:r w:rsidR="006E5C85">
        <w:t xml:space="preserve">. </w:t>
      </w:r>
    </w:p>
    <w:p w14:paraId="0C7A9377" w14:textId="7D1150C9" w:rsidR="007C79C8" w:rsidRDefault="006E5C85" w:rsidP="00B13D2B">
      <w:r>
        <w:t>A</w:t>
      </w:r>
      <w:r w:rsidR="00EC1632">
        <w:t xml:space="preserve">ccording to the Bank of Canada’s recent annual </w:t>
      </w:r>
      <w:hyperlink r:id="rId4" w:history="1">
        <w:r w:rsidR="00EC1632" w:rsidRPr="00C33571">
          <w:rPr>
            <w:rStyle w:val="Hyperlink"/>
          </w:rPr>
          <w:t>Financial Stability Report</w:t>
        </w:r>
      </w:hyperlink>
      <w:r>
        <w:t xml:space="preserve"> (FSR)</w:t>
      </w:r>
      <w:r w:rsidR="00EC1632">
        <w:t xml:space="preserve">, </w:t>
      </w:r>
      <w:r w:rsidR="000E547E">
        <w:t xml:space="preserve">mortgage </w:t>
      </w:r>
      <w:r>
        <w:t xml:space="preserve">costs have </w:t>
      </w:r>
      <w:r w:rsidR="003778EC">
        <w:t>driven</w:t>
      </w:r>
      <w:r>
        <w:t xml:space="preserve"> the average mortgage debt service ratio</w:t>
      </w:r>
      <w:r w:rsidR="003778EC">
        <w:t xml:space="preserve"> sharply higher</w:t>
      </w:r>
      <w:r>
        <w:t xml:space="preserve">, from </w:t>
      </w:r>
      <w:r w:rsidR="003778EC">
        <w:t xml:space="preserve">between </w:t>
      </w:r>
      <w:r>
        <w:t>10</w:t>
      </w:r>
      <w:r w:rsidR="003778EC">
        <w:t xml:space="preserve"> and </w:t>
      </w:r>
      <w:r>
        <w:t xml:space="preserve">15% over the past decade to </w:t>
      </w:r>
      <w:r w:rsidR="002140D8">
        <w:t xml:space="preserve">a level </w:t>
      </w:r>
      <w:r>
        <w:t>now exceed</w:t>
      </w:r>
      <w:r w:rsidR="003778EC">
        <w:t>ing</w:t>
      </w:r>
      <w:r>
        <w:t xml:space="preserve"> 20%. This means </w:t>
      </w:r>
      <w:r w:rsidR="000E547E">
        <w:t xml:space="preserve">mortgage holders </w:t>
      </w:r>
      <w:r>
        <w:t>are spend</w:t>
      </w:r>
      <w:r w:rsidR="003778EC">
        <w:t>ing</w:t>
      </w:r>
      <w:r>
        <w:t xml:space="preserve"> </w:t>
      </w:r>
      <w:r w:rsidR="002146BF">
        <w:t xml:space="preserve">a larger portion </w:t>
      </w:r>
      <w:r>
        <w:t xml:space="preserve">of their income on servicing </w:t>
      </w:r>
      <w:r w:rsidR="000E547E">
        <w:t>debt</w:t>
      </w:r>
      <w:r>
        <w:t xml:space="preserve"> e</w:t>
      </w:r>
      <w:r w:rsidR="002146BF">
        <w:t>ach</w:t>
      </w:r>
      <w:r>
        <w:t xml:space="preserve"> month. </w:t>
      </w:r>
      <w:r w:rsidR="000E547E">
        <w:t>Yet</w:t>
      </w:r>
      <w:r>
        <w:t>, the FSR report</w:t>
      </w:r>
      <w:r w:rsidR="002146BF">
        <w:t xml:space="preserve"> notes that</w:t>
      </w:r>
      <w:r>
        <w:t xml:space="preserve"> households with mortgages have been managing the higher interest rate environment </w:t>
      </w:r>
      <w:r w:rsidR="002146BF">
        <w:t xml:space="preserve">relatively well, </w:t>
      </w:r>
      <w:r>
        <w:t xml:space="preserve">with indicators of stress remaining </w:t>
      </w:r>
      <w:r w:rsidR="002146BF">
        <w:t>below</w:t>
      </w:r>
      <w:r>
        <w:t xml:space="preserve"> their historical averages</w:t>
      </w:r>
      <w:r w:rsidR="007C79C8">
        <w:t xml:space="preserve">. </w:t>
      </w:r>
      <w:r w:rsidR="000E547E">
        <w:t>This</w:t>
      </w:r>
      <w:r w:rsidR="002146BF">
        <w:t xml:space="preserve"> resilience can be attributed to</w:t>
      </w:r>
      <w:r w:rsidR="000E547E">
        <w:t xml:space="preserve"> a combination of factors, such as </w:t>
      </w:r>
      <w:r w:rsidR="00513E52">
        <w:t>higher incomes,</w:t>
      </w:r>
      <w:r w:rsidR="000374D4">
        <w:t xml:space="preserve"> increased</w:t>
      </w:r>
      <w:r w:rsidR="00513E52">
        <w:t xml:space="preserve"> saving</w:t>
      </w:r>
      <w:r w:rsidR="000E547E">
        <w:t>s</w:t>
      </w:r>
      <w:r w:rsidR="00513E52">
        <w:t>, and</w:t>
      </w:r>
      <w:r w:rsidR="000374D4">
        <w:t xml:space="preserve"> reduced</w:t>
      </w:r>
      <w:r w:rsidR="00513E52">
        <w:t xml:space="preserve"> discretionary spending.</w:t>
      </w:r>
      <w:r w:rsidR="000E547E">
        <w:t xml:space="preserve"> </w:t>
      </w:r>
    </w:p>
    <w:p w14:paraId="1C5A26A5" w14:textId="3BF0FCCF" w:rsidR="00BB5757" w:rsidRDefault="00B7460D" w:rsidP="00B13D2B">
      <w:r>
        <w:t>Nevert</w:t>
      </w:r>
      <w:r w:rsidR="006040B8">
        <w:t>h</w:t>
      </w:r>
      <w:r>
        <w:t>eless, t</w:t>
      </w:r>
      <w:r w:rsidR="000E547E">
        <w:t xml:space="preserve">he </w:t>
      </w:r>
      <w:r>
        <w:t>r</w:t>
      </w:r>
      <w:r w:rsidR="000E547E">
        <w:t>eport suggests that many households with mortgage</w:t>
      </w:r>
      <w:r>
        <w:t>s</w:t>
      </w:r>
      <w:r w:rsidR="000E547E">
        <w:t xml:space="preserve"> originated in 2021 and early 2022 may face more intense financial pressure</w:t>
      </w:r>
      <w:r>
        <w:t xml:space="preserve"> in the</w:t>
      </w:r>
      <w:r w:rsidR="00917DC3">
        <w:t xml:space="preserve"> coming</w:t>
      </w:r>
      <w:r>
        <w:t xml:space="preserve"> years. </w:t>
      </w:r>
      <w:r w:rsidR="00E80797">
        <w:t>H</w:t>
      </w:r>
      <w:r>
        <w:t xml:space="preserve">ome prices were </w:t>
      </w:r>
      <w:r w:rsidR="00E80797">
        <w:t>near</w:t>
      </w:r>
      <w:r>
        <w:t xml:space="preserve"> their peak</w:t>
      </w:r>
      <w:r w:rsidR="001B001C">
        <w:t xml:space="preserve"> back then</w:t>
      </w:r>
      <w:r w:rsidR="00E80797">
        <w:t>,</w:t>
      </w:r>
      <w:r>
        <w:t xml:space="preserve"> and </w:t>
      </w:r>
      <w:r w:rsidR="00907EAD">
        <w:t xml:space="preserve">mortgages were initiated at the ultra-low rates available </w:t>
      </w:r>
      <w:r>
        <w:t>at the time</w:t>
      </w:r>
      <w:r w:rsidR="00907EAD">
        <w:t xml:space="preserve">. </w:t>
      </w:r>
      <w:r w:rsidR="001B001C">
        <w:t>T</w:t>
      </w:r>
      <w:r w:rsidR="00907EAD">
        <w:t xml:space="preserve">hese homeowners </w:t>
      </w:r>
      <w:r w:rsidR="001B001C">
        <w:t xml:space="preserve">may </w:t>
      </w:r>
      <w:r w:rsidR="00E80797">
        <w:t xml:space="preserve">encounter </w:t>
      </w:r>
      <w:r w:rsidR="00907EAD">
        <w:t xml:space="preserve">financial strain due to much higher payments </w:t>
      </w:r>
      <w:r w:rsidR="001B001C">
        <w:t>upon</w:t>
      </w:r>
      <w:r w:rsidR="00907EAD">
        <w:t xml:space="preserve"> renewal,</w:t>
      </w:r>
      <w:r w:rsidR="00E80797">
        <w:t xml:space="preserve"> </w:t>
      </w:r>
      <w:r w:rsidR="00907EAD">
        <w:t>compounded by hold</w:t>
      </w:r>
      <w:r w:rsidR="00E80797">
        <w:t>ing</w:t>
      </w:r>
      <w:r w:rsidR="00907EAD">
        <w:t xml:space="preserve"> large mortgage values relative to their incomes</w:t>
      </w:r>
      <w:r w:rsidR="002140D8">
        <w:t>,</w:t>
      </w:r>
      <w:r w:rsidR="00907EAD">
        <w:t xml:space="preserve"> and equity in their homes that has either remained stable or decreased</w:t>
      </w:r>
      <w:r>
        <w:t xml:space="preserve"> somewhat</w:t>
      </w:r>
      <w:r w:rsidR="000E547E">
        <w:t xml:space="preserve">. In other words, </w:t>
      </w:r>
      <w:r w:rsidR="007B49D7">
        <w:t>much of the</w:t>
      </w:r>
      <w:r>
        <w:t xml:space="preserve"> </w:t>
      </w:r>
      <w:r w:rsidR="00922354">
        <w:t>impact</w:t>
      </w:r>
      <w:r w:rsidR="00E80797">
        <w:t xml:space="preserve"> of</w:t>
      </w:r>
      <w:r w:rsidR="007C79C8">
        <w:t xml:space="preserve"> higher interest rates </w:t>
      </w:r>
      <w:r w:rsidR="00E80797">
        <w:t>on mortgage</w:t>
      </w:r>
      <w:r w:rsidR="00B13D2B">
        <w:t xml:space="preserve"> holders </w:t>
      </w:r>
      <w:r w:rsidR="00922354">
        <w:t>may still lie ahead.</w:t>
      </w:r>
    </w:p>
    <w:p w14:paraId="6025BD9D" w14:textId="012CFD13" w:rsidR="006040B8" w:rsidRDefault="00907EAD" w:rsidP="00B13D2B">
      <w:r>
        <w:t xml:space="preserve">Renters in </w:t>
      </w:r>
      <w:r w:rsidR="00183B07">
        <w:t>Canada may</w:t>
      </w:r>
      <w:r w:rsidR="00E80797">
        <w:t xml:space="preserve"> </w:t>
      </w:r>
      <w:r w:rsidR="00B13D2B">
        <w:t xml:space="preserve">currently </w:t>
      </w:r>
      <w:r w:rsidR="00183B07">
        <w:t xml:space="preserve">be </w:t>
      </w:r>
      <w:r>
        <w:t xml:space="preserve">showing the </w:t>
      </w:r>
      <w:r w:rsidR="00E80797">
        <w:t>greatest</w:t>
      </w:r>
      <w:r>
        <w:t xml:space="preserve"> signs of financial stress. </w:t>
      </w:r>
      <w:r w:rsidR="00E80797">
        <w:t xml:space="preserve">The </w:t>
      </w:r>
      <w:r>
        <w:t>Bank of Canada report</w:t>
      </w:r>
      <w:r w:rsidR="00E80797">
        <w:t xml:space="preserve"> highlighted a </w:t>
      </w:r>
      <w:r w:rsidR="00B55566">
        <w:t>steep</w:t>
      </w:r>
      <w:r w:rsidR="00E80797">
        <w:t xml:space="preserve"> increase </w:t>
      </w:r>
      <w:r w:rsidR="007C79C8">
        <w:t>in delinquencies on consumer debt</w:t>
      </w:r>
      <w:r w:rsidR="00B55566">
        <w:t>,</w:t>
      </w:r>
      <w:r w:rsidR="007C79C8">
        <w:t xml:space="preserve"> such as auto loans and credit cards</w:t>
      </w:r>
      <w:r w:rsidR="00B55566">
        <w:t>, among</w:t>
      </w:r>
      <w:r w:rsidR="007C79C8">
        <w:t xml:space="preserve"> borrowers without mortgage</w:t>
      </w:r>
      <w:r w:rsidR="00B55566">
        <w:t>s</w:t>
      </w:r>
      <w:r w:rsidR="007C79C8">
        <w:t xml:space="preserve">. </w:t>
      </w:r>
      <w:r>
        <w:t xml:space="preserve">Meanwhile, the most recent inflation data from March </w:t>
      </w:r>
      <w:r w:rsidR="00B55566">
        <w:t>indicated that</w:t>
      </w:r>
      <w:r>
        <w:t xml:space="preserve"> </w:t>
      </w:r>
      <w:r w:rsidR="002140D8">
        <w:t xml:space="preserve">the increase in </w:t>
      </w:r>
      <w:r>
        <w:t xml:space="preserve">rent prices </w:t>
      </w:r>
      <w:r w:rsidR="00B55566">
        <w:t>ha</w:t>
      </w:r>
      <w:r w:rsidR="002140D8">
        <w:t>s</w:t>
      </w:r>
      <w:r w:rsidR="00B55566">
        <w:t xml:space="preserve"> </w:t>
      </w:r>
      <w:r>
        <w:t xml:space="preserve">accelerated to a pace of </w:t>
      </w:r>
      <w:r w:rsidR="00B13D2B">
        <w:t xml:space="preserve">more than </w:t>
      </w:r>
      <w:r>
        <w:t>8% year-over-year, the highest in decades.</w:t>
      </w:r>
      <w:r w:rsidR="000B2529">
        <w:t xml:space="preserve"> Multiple factors continue to drive rent prices</w:t>
      </w:r>
      <w:r w:rsidR="00FE3A2A">
        <w:t xml:space="preserve"> higher</w:t>
      </w:r>
      <w:r w:rsidR="000B2529">
        <w:t>, including: the higher cost of home ownership that has</w:t>
      </w:r>
      <w:r w:rsidR="00B13D2B">
        <w:t xml:space="preserve"> forced </w:t>
      </w:r>
      <w:r w:rsidR="000B2529">
        <w:t>potential buyers to</w:t>
      </w:r>
      <w:r w:rsidR="00FE3A2A">
        <w:t xml:space="preserve"> </w:t>
      </w:r>
      <w:r w:rsidR="00B13D2B">
        <w:t>explore the</w:t>
      </w:r>
      <w:r w:rsidR="000B2529">
        <w:t xml:space="preserve"> rental market instead, low vacancy rates, and high immigration.</w:t>
      </w:r>
    </w:p>
    <w:p w14:paraId="0FBCB5D9" w14:textId="1DF7116D" w:rsidR="00610FF3" w:rsidRDefault="00FC2659" w:rsidP="00B13D2B">
      <w:pPr>
        <w:rPr>
          <w:rFonts w:ascii="Calibri" w:hAnsi="Calibri" w:cs="Calibri"/>
        </w:rPr>
      </w:pPr>
      <w:r>
        <w:rPr>
          <w:rFonts w:ascii="Calibri" w:hAnsi="Calibri" w:cs="Calibri"/>
        </w:rPr>
        <w:t xml:space="preserve">On a positive note, the Bank of Canada </w:t>
      </w:r>
      <w:r w:rsidR="00B13D2B">
        <w:rPr>
          <w:rFonts w:ascii="Calibri" w:hAnsi="Calibri" w:cs="Calibri"/>
        </w:rPr>
        <w:t>is</w:t>
      </w:r>
      <w:r w:rsidR="00FE3A2A">
        <w:rPr>
          <w:rFonts w:ascii="Calibri" w:hAnsi="Calibri" w:cs="Calibri"/>
        </w:rPr>
        <w:t xml:space="preserve"> nearing the point</w:t>
      </w:r>
      <w:r w:rsidR="00610FF3">
        <w:rPr>
          <w:rFonts w:ascii="Calibri" w:hAnsi="Calibri" w:cs="Calibri"/>
        </w:rPr>
        <w:t xml:space="preserve">, potentially this summer, </w:t>
      </w:r>
      <w:r w:rsidR="00FE3A2A">
        <w:rPr>
          <w:rFonts w:ascii="Calibri" w:hAnsi="Calibri" w:cs="Calibri"/>
        </w:rPr>
        <w:t>where it will begin to cut interest rates</w:t>
      </w:r>
      <w:r w:rsidR="00610FF3">
        <w:rPr>
          <w:rFonts w:ascii="Calibri" w:hAnsi="Calibri" w:cs="Calibri"/>
        </w:rPr>
        <w:t>. This should provide some much-needed relief to Canadian households and may help to slow the increasing cost of home ownership and rent. Longer-term, the supply of housing also needs to grow meaningfully to ensure some balance between supply and demand is restored. We will explore that issue in more detail in the months to come.</w:t>
      </w:r>
    </w:p>
    <w:bookmarkEnd w:id="0"/>
    <w:p w14:paraId="531009E8" w14:textId="10413C56" w:rsidR="00C25AB4" w:rsidRDefault="00B13D2B" w:rsidP="00B13D2B">
      <w:r>
        <w:rPr>
          <w:rFonts w:ascii="Calibri" w:hAnsi="Calibri" w:cs="Calibri"/>
        </w:rPr>
        <w:lastRenderedPageBreak/>
        <w:t>Should you have any questions, feel free to reach out.</w:t>
      </w:r>
      <w:bookmarkEnd w:id="1"/>
    </w:p>
    <w:sectPr w:rsidR="00C25AB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2576"/>
    <w:rsid w:val="0000279F"/>
    <w:rsid w:val="000374D4"/>
    <w:rsid w:val="0005342C"/>
    <w:rsid w:val="000A01C8"/>
    <w:rsid w:val="000B2529"/>
    <w:rsid w:val="000E3BF7"/>
    <w:rsid w:val="000E547E"/>
    <w:rsid w:val="00130215"/>
    <w:rsid w:val="00143546"/>
    <w:rsid w:val="001509CE"/>
    <w:rsid w:val="00164589"/>
    <w:rsid w:val="00183B07"/>
    <w:rsid w:val="00193D99"/>
    <w:rsid w:val="00196CFA"/>
    <w:rsid w:val="001A63E8"/>
    <w:rsid w:val="001B001C"/>
    <w:rsid w:val="001D78EB"/>
    <w:rsid w:val="002140D8"/>
    <w:rsid w:val="002146BF"/>
    <w:rsid w:val="00237B75"/>
    <w:rsid w:val="00251BE9"/>
    <w:rsid w:val="0026271B"/>
    <w:rsid w:val="00265D56"/>
    <w:rsid w:val="00282E74"/>
    <w:rsid w:val="002C7495"/>
    <w:rsid w:val="00322576"/>
    <w:rsid w:val="00337DB4"/>
    <w:rsid w:val="00347AC2"/>
    <w:rsid w:val="0035430F"/>
    <w:rsid w:val="00355989"/>
    <w:rsid w:val="003778EC"/>
    <w:rsid w:val="003B3F6C"/>
    <w:rsid w:val="004231C7"/>
    <w:rsid w:val="004257B4"/>
    <w:rsid w:val="00430FF3"/>
    <w:rsid w:val="004B1014"/>
    <w:rsid w:val="004C6F65"/>
    <w:rsid w:val="004E3B50"/>
    <w:rsid w:val="004E6EE8"/>
    <w:rsid w:val="004F6F7D"/>
    <w:rsid w:val="00513E52"/>
    <w:rsid w:val="0052318D"/>
    <w:rsid w:val="00604010"/>
    <w:rsid w:val="006040B8"/>
    <w:rsid w:val="00610FF3"/>
    <w:rsid w:val="006616AE"/>
    <w:rsid w:val="006848EE"/>
    <w:rsid w:val="00684BD5"/>
    <w:rsid w:val="00693EA0"/>
    <w:rsid w:val="006E5C85"/>
    <w:rsid w:val="006E7494"/>
    <w:rsid w:val="006F32AE"/>
    <w:rsid w:val="00754BB7"/>
    <w:rsid w:val="00774CD0"/>
    <w:rsid w:val="00781E1E"/>
    <w:rsid w:val="007B49D7"/>
    <w:rsid w:val="007C79C8"/>
    <w:rsid w:val="007F66A0"/>
    <w:rsid w:val="00843F75"/>
    <w:rsid w:val="00857F60"/>
    <w:rsid w:val="008D0848"/>
    <w:rsid w:val="00907EAD"/>
    <w:rsid w:val="00917DC3"/>
    <w:rsid w:val="00922354"/>
    <w:rsid w:val="00941ACB"/>
    <w:rsid w:val="00953523"/>
    <w:rsid w:val="0097769F"/>
    <w:rsid w:val="009B449F"/>
    <w:rsid w:val="00A1229E"/>
    <w:rsid w:val="00A906F4"/>
    <w:rsid w:val="00AB7969"/>
    <w:rsid w:val="00B13D2B"/>
    <w:rsid w:val="00B2233A"/>
    <w:rsid w:val="00B42835"/>
    <w:rsid w:val="00B54F36"/>
    <w:rsid w:val="00B55566"/>
    <w:rsid w:val="00B7460D"/>
    <w:rsid w:val="00BB5757"/>
    <w:rsid w:val="00BF1C69"/>
    <w:rsid w:val="00C25AB4"/>
    <w:rsid w:val="00C25EDD"/>
    <w:rsid w:val="00C33571"/>
    <w:rsid w:val="00C373D0"/>
    <w:rsid w:val="00D26FA5"/>
    <w:rsid w:val="00D9261F"/>
    <w:rsid w:val="00DA4AAB"/>
    <w:rsid w:val="00E200AD"/>
    <w:rsid w:val="00E27EE5"/>
    <w:rsid w:val="00E80797"/>
    <w:rsid w:val="00E8113E"/>
    <w:rsid w:val="00EB670B"/>
    <w:rsid w:val="00EC1632"/>
    <w:rsid w:val="00EF0203"/>
    <w:rsid w:val="00EF0B14"/>
    <w:rsid w:val="00F01398"/>
    <w:rsid w:val="00F11C3B"/>
    <w:rsid w:val="00F2502B"/>
    <w:rsid w:val="00FB6616"/>
    <w:rsid w:val="00FC126F"/>
    <w:rsid w:val="00FC2659"/>
    <w:rsid w:val="00FE3A2A"/>
    <w:rsid w:val="00FF55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392BEC"/>
  <w15:docId w15:val="{62F03EEF-4D72-40A6-8991-3A672E3D5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48E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693EA0"/>
    <w:pPr>
      <w:spacing w:after="0" w:line="240" w:lineRule="auto"/>
    </w:pPr>
  </w:style>
  <w:style w:type="character" w:styleId="CommentReference">
    <w:name w:val="annotation reference"/>
    <w:basedOn w:val="DefaultParagraphFont"/>
    <w:uiPriority w:val="99"/>
    <w:semiHidden/>
    <w:unhideWhenUsed/>
    <w:rsid w:val="00693EA0"/>
    <w:rPr>
      <w:sz w:val="16"/>
      <w:szCs w:val="16"/>
    </w:rPr>
  </w:style>
  <w:style w:type="paragraph" w:styleId="CommentText">
    <w:name w:val="annotation text"/>
    <w:basedOn w:val="Normal"/>
    <w:link w:val="CommentTextChar"/>
    <w:uiPriority w:val="99"/>
    <w:unhideWhenUsed/>
    <w:rsid w:val="00693EA0"/>
    <w:pPr>
      <w:spacing w:line="240" w:lineRule="auto"/>
    </w:pPr>
    <w:rPr>
      <w:sz w:val="20"/>
      <w:szCs w:val="20"/>
    </w:rPr>
  </w:style>
  <w:style w:type="character" w:customStyle="1" w:styleId="CommentTextChar">
    <w:name w:val="Comment Text Char"/>
    <w:basedOn w:val="DefaultParagraphFont"/>
    <w:link w:val="CommentText"/>
    <w:uiPriority w:val="99"/>
    <w:rsid w:val="00693EA0"/>
    <w:rPr>
      <w:sz w:val="20"/>
      <w:szCs w:val="20"/>
    </w:rPr>
  </w:style>
  <w:style w:type="paragraph" w:styleId="CommentSubject">
    <w:name w:val="annotation subject"/>
    <w:basedOn w:val="CommentText"/>
    <w:next w:val="CommentText"/>
    <w:link w:val="CommentSubjectChar"/>
    <w:uiPriority w:val="99"/>
    <w:semiHidden/>
    <w:unhideWhenUsed/>
    <w:rsid w:val="00693EA0"/>
    <w:rPr>
      <w:b/>
      <w:bCs/>
    </w:rPr>
  </w:style>
  <w:style w:type="character" w:customStyle="1" w:styleId="CommentSubjectChar">
    <w:name w:val="Comment Subject Char"/>
    <w:basedOn w:val="CommentTextChar"/>
    <w:link w:val="CommentSubject"/>
    <w:uiPriority w:val="99"/>
    <w:semiHidden/>
    <w:rsid w:val="00693EA0"/>
    <w:rPr>
      <w:b/>
      <w:bCs/>
      <w:sz w:val="20"/>
      <w:szCs w:val="20"/>
    </w:rPr>
  </w:style>
  <w:style w:type="character" w:styleId="Hyperlink">
    <w:name w:val="Hyperlink"/>
    <w:basedOn w:val="DefaultParagraphFont"/>
    <w:uiPriority w:val="99"/>
    <w:unhideWhenUsed/>
    <w:rsid w:val="00E8113E"/>
    <w:rPr>
      <w:color w:val="0563C1" w:themeColor="hyperlink"/>
      <w:u w:val="single"/>
    </w:rPr>
  </w:style>
  <w:style w:type="character" w:styleId="UnresolvedMention">
    <w:name w:val="Unresolved Mention"/>
    <w:basedOn w:val="DefaultParagraphFont"/>
    <w:uiPriority w:val="99"/>
    <w:semiHidden/>
    <w:unhideWhenUsed/>
    <w:rsid w:val="00E8113E"/>
    <w:rPr>
      <w:color w:val="605E5C"/>
      <w:shd w:val="clear" w:color="auto" w:fill="E1DFDD"/>
    </w:rPr>
  </w:style>
  <w:style w:type="character" w:styleId="FollowedHyperlink">
    <w:name w:val="FollowedHyperlink"/>
    <w:basedOn w:val="DefaultParagraphFont"/>
    <w:uiPriority w:val="99"/>
    <w:semiHidden/>
    <w:unhideWhenUsed/>
    <w:rsid w:val="006848E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bankofcanada.ca/2024/05/financial-stability-report-202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561</Words>
  <Characters>3198</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Humbert, Claudia CH</dc:creator>
  <cp:keywords/>
  <dc:description/>
  <cp:lastModifiedBy>Lee, James B</cp:lastModifiedBy>
  <cp:revision>2</cp:revision>
  <dcterms:created xsi:type="dcterms:W3CDTF">2024-05-17T16:21:00Z</dcterms:created>
  <dcterms:modified xsi:type="dcterms:W3CDTF">2024-05-17T16:21:00Z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8f99e99-9b44-4087-9344-0482001c1f1a_Enabled">
    <vt:lpwstr>true</vt:lpwstr>
  </property>
  <property fmtid="{D5CDD505-2E9C-101B-9397-08002B2CF9AE}" pid="3" name="MSIP_Label_b8f99e99-9b44-4087-9344-0482001c1f1a_Method">
    <vt:lpwstr>Privileged</vt:lpwstr>
  </property>
  <property fmtid="{D5CDD505-2E9C-101B-9397-08002B2CF9AE}" pid="4" name="MSIP_Label_b8f99e99-9b44-4087-9344-0482001c1f1a_SiteId">
    <vt:lpwstr>9323b596-236d-4890-bed3-60232a849027</vt:lpwstr>
  </property>
  <property fmtid="{D5CDD505-2E9C-101B-9397-08002B2CF9AE}" pid="5" name="Classification">
    <vt:lpwstr>TT_Public</vt:lpwstr>
  </property>
</Properties>
</file>