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F0700" w14:textId="2B3F94E3" w:rsidR="00DD66CE" w:rsidRPr="00DD66CE" w:rsidRDefault="00DD66CE" w:rsidP="00CF30B6">
      <w:pPr>
        <w:rPr>
          <w:b/>
          <w:bCs/>
        </w:rPr>
      </w:pPr>
      <w:bookmarkStart w:id="0" w:name="_Hlk161915885"/>
      <w:r w:rsidRPr="00DD66CE">
        <w:rPr>
          <w:b/>
          <w:bCs/>
        </w:rPr>
        <w:t>Portfolio Advisory Group Update April 5</w:t>
      </w:r>
      <w:r w:rsidRPr="00DD66CE">
        <w:rPr>
          <w:b/>
          <w:bCs/>
          <w:vertAlign w:val="superscript"/>
        </w:rPr>
        <w:t>th</w:t>
      </w:r>
      <w:r w:rsidR="00DA3C2A" w:rsidRPr="00DD66CE">
        <w:rPr>
          <w:b/>
          <w:bCs/>
        </w:rPr>
        <w:t>, 2024</w:t>
      </w:r>
    </w:p>
    <w:p w14:paraId="35B77067" w14:textId="77777777" w:rsidR="00DD66CE" w:rsidRDefault="00DD66CE" w:rsidP="00CF30B6"/>
    <w:p w14:paraId="7F367688" w14:textId="171C5A0D" w:rsidR="00EF001E" w:rsidRDefault="00EF001E" w:rsidP="00CF30B6">
      <w:r>
        <w:t xml:space="preserve">Global </w:t>
      </w:r>
      <w:r w:rsidR="00EF519F">
        <w:t xml:space="preserve">equity </w:t>
      </w:r>
      <w:r w:rsidR="00CC6499">
        <w:t>markets have been somewhat directionless over the past few weeks, likely taking a breather after a reasonably good first quarter. Investors are</w:t>
      </w:r>
      <w:r w:rsidR="009C71A8">
        <w:t xml:space="preserve"> </w:t>
      </w:r>
      <w:r w:rsidR="007B3703">
        <w:t>digesting</w:t>
      </w:r>
      <w:r w:rsidR="00271D70">
        <w:t xml:space="preserve"> recent jobs reports in Canada and the U.S. Meanwhile, t</w:t>
      </w:r>
      <w:r w:rsidR="00CC6499">
        <w:t>he consensus view remains t</w:t>
      </w:r>
      <w:r w:rsidR="00271D70">
        <w:t xml:space="preserve">hat </w:t>
      </w:r>
      <w:r w:rsidR="00CC6499">
        <w:t>rate cuts</w:t>
      </w:r>
      <w:r w:rsidR="007C0EE8">
        <w:t xml:space="preserve"> are looming </w:t>
      </w:r>
      <w:r w:rsidR="00CC6499">
        <w:t>in the second half of the year</w:t>
      </w:r>
      <w:r w:rsidR="00E20343">
        <w:t xml:space="preserve"> though</w:t>
      </w:r>
      <w:r w:rsidR="00271D70">
        <w:t xml:space="preserve"> the exact timing and degree of cuts are topics of debate given recent comments from a few officials at the U.S. Federal Reserve. </w:t>
      </w:r>
      <w:r w:rsidR="007C0EE8">
        <w:t xml:space="preserve">Given the strong global equity market gains over the past year, </w:t>
      </w:r>
      <w:r w:rsidR="00CC6499">
        <w:t xml:space="preserve">we </w:t>
      </w:r>
      <w:r w:rsidR="000A5C50">
        <w:t xml:space="preserve">discuss </w:t>
      </w:r>
      <w:r w:rsidR="00CC6499">
        <w:t>market valuations and return expectations going forward.</w:t>
      </w:r>
    </w:p>
    <w:p w14:paraId="5566E405" w14:textId="77777777" w:rsidR="00CC6499" w:rsidRDefault="00CC6499" w:rsidP="00CF30B6"/>
    <w:p w14:paraId="7E13107A" w14:textId="71D38406" w:rsidR="00DE05BA" w:rsidRDefault="009C71A8" w:rsidP="00CF30B6">
      <w:r>
        <w:t>W</w:t>
      </w:r>
      <w:r w:rsidR="00DE05BA">
        <w:t>e have</w:t>
      </w:r>
      <w:r>
        <w:t xml:space="preserve"> and continue to be</w:t>
      </w:r>
      <w:r w:rsidR="00DE05BA">
        <w:t xml:space="preserve"> guided</w:t>
      </w:r>
      <w:r>
        <w:t xml:space="preserve"> </w:t>
      </w:r>
      <w:r w:rsidR="00DE05BA">
        <w:t>by a simple but intuitive framework for longer-term investing. In essence, it suggests that long-term returns</w:t>
      </w:r>
      <w:r w:rsidR="00777BAF">
        <w:t xml:space="preserve"> </w:t>
      </w:r>
      <w:r w:rsidR="00DE05BA">
        <w:t xml:space="preserve">can be particularly rewarding when </w:t>
      </w:r>
      <w:r w:rsidR="00777BAF">
        <w:t xml:space="preserve">investments are made </w:t>
      </w:r>
      <w:r>
        <w:t>at inexpensive valuations</w:t>
      </w:r>
      <w:r w:rsidR="00777BAF">
        <w:t>. Likewise,</w:t>
      </w:r>
      <w:r w:rsidR="00F57704">
        <w:t xml:space="preserve"> </w:t>
      </w:r>
      <w:r w:rsidR="00777BAF">
        <w:t xml:space="preserve">investing results </w:t>
      </w:r>
      <w:r w:rsidR="007C3BE2">
        <w:t>have</w:t>
      </w:r>
      <w:r w:rsidR="00777BAF">
        <w:t xml:space="preserve"> prove</w:t>
      </w:r>
      <w:r w:rsidR="007C3BE2">
        <w:t>n</w:t>
      </w:r>
      <w:r w:rsidR="00777BAF">
        <w:t xml:space="preserve"> to be less</w:t>
      </w:r>
      <w:r w:rsidR="007C3BE2">
        <w:t xml:space="preserve"> satisfying</w:t>
      </w:r>
      <w:r w:rsidR="00F57704">
        <w:t xml:space="preserve">, over time, </w:t>
      </w:r>
      <w:r w:rsidR="00777BAF">
        <w:t xml:space="preserve">when investments </w:t>
      </w:r>
      <w:r w:rsidR="007C3BE2">
        <w:t>were</w:t>
      </w:r>
      <w:r w:rsidR="00777BAF">
        <w:t xml:space="preserve"> made </w:t>
      </w:r>
      <w:r w:rsidR="007C3BE2">
        <w:t>at elevated valuation levels</w:t>
      </w:r>
      <w:r w:rsidR="00DE05BA">
        <w:t>.</w:t>
      </w:r>
      <w:r w:rsidR="007C3BE2">
        <w:t xml:space="preserve"> </w:t>
      </w:r>
      <w:r w:rsidR="00777BAF">
        <w:t xml:space="preserve">Importantly, this </w:t>
      </w:r>
      <w:r>
        <w:t>guideline</w:t>
      </w:r>
      <w:r w:rsidR="00777BAF">
        <w:t xml:space="preserve"> has no real bearing on investment returns from one year to the next</w:t>
      </w:r>
      <w:r>
        <w:t>.</w:t>
      </w:r>
      <w:r w:rsidR="007C0EE8">
        <w:t xml:space="preserve"> Rather, it has proven particularly </w:t>
      </w:r>
      <w:r w:rsidR="007C3BE2">
        <w:t>useful</w:t>
      </w:r>
      <w:r w:rsidR="00060A7E">
        <w:t xml:space="preserve"> </w:t>
      </w:r>
      <w:r w:rsidR="007C3BE2">
        <w:t xml:space="preserve">for investors to use this </w:t>
      </w:r>
      <w:r>
        <w:t xml:space="preserve">over </w:t>
      </w:r>
      <w:r w:rsidR="00DD3B69">
        <w:t>longer time frames</w:t>
      </w:r>
      <w:r w:rsidR="007C3BE2">
        <w:t xml:space="preserve"> </w:t>
      </w:r>
      <w:r w:rsidR="00F57704">
        <w:t xml:space="preserve">to help </w:t>
      </w:r>
      <w:r w:rsidR="00BE6FB5">
        <w:t xml:space="preserve">assess the </w:t>
      </w:r>
      <w:r w:rsidR="00F57704">
        <w:t>long-term return potential of various asset classes</w:t>
      </w:r>
      <w:r w:rsidR="00060A7E">
        <w:t xml:space="preserve">. </w:t>
      </w:r>
      <w:r w:rsidR="007C0EE8">
        <w:t>R</w:t>
      </w:r>
      <w:r w:rsidR="00060A7E">
        <w:t xml:space="preserve">eflecting on this </w:t>
      </w:r>
      <w:r>
        <w:t xml:space="preserve">basic rule </w:t>
      </w:r>
      <w:r w:rsidR="007C0EE8">
        <w:t xml:space="preserve">recently </w:t>
      </w:r>
      <w:r w:rsidR="00060A7E">
        <w:t xml:space="preserve">has led to us to ask the question: where are valuations today? And </w:t>
      </w:r>
      <w:r w:rsidR="00FE4251">
        <w:t>importantly, what expectations should we have for longer-term returns</w:t>
      </w:r>
      <w:r w:rsidR="00F57704">
        <w:t xml:space="preserve"> from equities</w:t>
      </w:r>
      <w:r w:rsidR="00060A7E">
        <w:t>?</w:t>
      </w:r>
    </w:p>
    <w:p w14:paraId="4F5E637B" w14:textId="77777777" w:rsidR="00DE05BA" w:rsidRDefault="00DE05BA" w:rsidP="00CF30B6"/>
    <w:p w14:paraId="78AB5A7A" w14:textId="6E6CC9E1" w:rsidR="00DE05BA" w:rsidRDefault="00D00199" w:rsidP="00CF30B6">
      <w:r>
        <w:t xml:space="preserve">On the surface, the </w:t>
      </w:r>
      <w:r w:rsidR="00DD3B69">
        <w:t>large cap U.S. stock market</w:t>
      </w:r>
      <w:r w:rsidR="007C3BE2">
        <w:t>,</w:t>
      </w:r>
      <w:r w:rsidR="00DD3B69">
        <w:t xml:space="preserve"> as measured by the S&amp;P 500 index</w:t>
      </w:r>
      <w:r w:rsidR="007C3BE2">
        <w:t>,</w:t>
      </w:r>
      <w:r w:rsidR="00DD3B69">
        <w:t xml:space="preserve"> </w:t>
      </w:r>
      <w:r>
        <w:t xml:space="preserve">appears expensive. </w:t>
      </w:r>
      <w:r w:rsidR="00BD4242">
        <w:t xml:space="preserve">That’s not that surprising given how well it has performed since the lows reached in the fall of 2022. </w:t>
      </w:r>
      <w:r>
        <w:t>Its forward Price to Earnings ratio, which</w:t>
      </w:r>
      <w:r w:rsidR="007F71BD">
        <w:t xml:space="preserve"> reflects the current price divided by the earnings expected </w:t>
      </w:r>
      <w:r w:rsidR="00784F00">
        <w:t xml:space="preserve">from the companies within the index </w:t>
      </w:r>
      <w:r w:rsidR="007F71BD">
        <w:t xml:space="preserve">over the next twelve months, currently sits at </w:t>
      </w:r>
      <w:r w:rsidR="006154A9">
        <w:t>about 21</w:t>
      </w:r>
      <w:r w:rsidR="00BD4242">
        <w:t xml:space="preserve">. That </w:t>
      </w:r>
      <w:r w:rsidR="006154A9">
        <w:t>compare</w:t>
      </w:r>
      <w:r w:rsidR="00BD4242">
        <w:t>s</w:t>
      </w:r>
      <w:r w:rsidR="006154A9">
        <w:t xml:space="preserve"> to its average of 16 over the past twenty to thirty years. </w:t>
      </w:r>
      <w:r w:rsidR="00BD4242">
        <w:t>But, as has been well documented in recent months, the gains of the U.S. market over the past year have been heavily influenced by the performance of the “Magnificent 7”, a group of seven large technology stocks. I</w:t>
      </w:r>
      <w:r w:rsidR="00127E1A">
        <w:t>f we strip out the</w:t>
      </w:r>
      <w:r w:rsidR="00BD4242">
        <w:t>se</w:t>
      </w:r>
      <w:r w:rsidR="00127E1A">
        <w:t xml:space="preserve"> </w:t>
      </w:r>
      <w:r w:rsidR="00BD4242">
        <w:t>seven</w:t>
      </w:r>
      <w:r w:rsidR="00127E1A">
        <w:t xml:space="preserve"> stocks</w:t>
      </w:r>
      <w:r w:rsidR="00BD4242">
        <w:t>,</w:t>
      </w:r>
      <w:r w:rsidR="00127E1A">
        <w:t xml:space="preserve"> the </w:t>
      </w:r>
      <w:r w:rsidR="00BD4242">
        <w:t xml:space="preserve">market’s </w:t>
      </w:r>
      <w:r w:rsidR="00127E1A">
        <w:t xml:space="preserve">P/E ratio falls to </w:t>
      </w:r>
      <w:r w:rsidR="00171393">
        <w:t>a more reasonable range of</w:t>
      </w:r>
      <w:r w:rsidR="00127E1A">
        <w:t xml:space="preserve"> 17</w:t>
      </w:r>
      <w:r w:rsidR="00171393">
        <w:t>-18</w:t>
      </w:r>
      <w:r w:rsidR="00127E1A">
        <w:t>. In other words, the U.S. market</w:t>
      </w:r>
      <w:r w:rsidR="007C3BE2">
        <w:t xml:space="preserve"> is not cheap but </w:t>
      </w:r>
      <w:r w:rsidR="00BD4242">
        <w:t xml:space="preserve">may not necessarily be </w:t>
      </w:r>
      <w:r w:rsidR="00784F00">
        <w:t>as expensive as</w:t>
      </w:r>
      <w:r w:rsidR="00D86F14">
        <w:t xml:space="preserve"> one would think.</w:t>
      </w:r>
    </w:p>
    <w:p w14:paraId="2F59A7CA" w14:textId="77777777" w:rsidR="00FE4251" w:rsidRDefault="00FE4251" w:rsidP="00CF30B6"/>
    <w:p w14:paraId="53CD79C7" w14:textId="08EA532D" w:rsidR="00270A51" w:rsidRDefault="00A2450C" w:rsidP="00CF30B6">
      <w:r>
        <w:t>A</w:t>
      </w:r>
      <w:r w:rsidR="001F29D7">
        <w:t xml:space="preserve"> similar story </w:t>
      </w:r>
      <w:r>
        <w:t xml:space="preserve">exists </w:t>
      </w:r>
      <w:r w:rsidR="00DD3B69">
        <w:t>elsewhere</w:t>
      </w:r>
      <w:r w:rsidR="005E6B86">
        <w:t>. T</w:t>
      </w:r>
      <w:r w:rsidR="001F29D7">
        <w:t xml:space="preserve">he forward P/E ratio for the Canadian equity market is just below 15, which is around its long-term average. </w:t>
      </w:r>
      <w:r w:rsidR="005E6B86">
        <w:t>T</w:t>
      </w:r>
      <w:r w:rsidR="001F29D7">
        <w:t>he</w:t>
      </w:r>
      <w:r w:rsidR="00D86F14">
        <w:t xml:space="preserve"> same</w:t>
      </w:r>
      <w:r w:rsidR="001F29D7">
        <w:t xml:space="preserve"> ratio for overseas developed markets is </w:t>
      </w:r>
      <w:r w:rsidR="005E6B86">
        <w:t xml:space="preserve">also </w:t>
      </w:r>
      <w:r w:rsidR="001F29D7">
        <w:t xml:space="preserve">just below 15, which is slightly higher than </w:t>
      </w:r>
      <w:r w:rsidR="005E6B86">
        <w:t>its</w:t>
      </w:r>
      <w:r w:rsidR="001F29D7">
        <w:t xml:space="preserve"> long-term average</w:t>
      </w:r>
      <w:r w:rsidR="005E6B86">
        <w:t>. In emerging markets, the ratio is nearly</w:t>
      </w:r>
      <w:r w:rsidR="001F29D7">
        <w:t xml:space="preserve"> 12 which is also just above its longer-term average</w:t>
      </w:r>
      <w:r w:rsidR="00D85A87">
        <w:t>.</w:t>
      </w:r>
      <w:r w:rsidR="00270A51">
        <w:t xml:space="preserve"> </w:t>
      </w:r>
    </w:p>
    <w:p w14:paraId="160DF827" w14:textId="77777777" w:rsidR="00270A51" w:rsidRDefault="00270A51" w:rsidP="00CF30B6"/>
    <w:p w14:paraId="0E6F807E" w14:textId="7A84735B" w:rsidR="00784F00" w:rsidRDefault="00784F00" w:rsidP="00F57704">
      <w:r>
        <w:t>T</w:t>
      </w:r>
      <w:r w:rsidR="00270A51">
        <w:t xml:space="preserve">he key takeaway is that </w:t>
      </w:r>
      <w:r w:rsidR="00D85A87">
        <w:t>despite the fact equity markets have done well since the lows reached in 2022, the valuation levels</w:t>
      </w:r>
      <w:r w:rsidR="00270A51">
        <w:t xml:space="preserve">, outside of </w:t>
      </w:r>
      <w:r>
        <w:t>some of the largest technology stocks in the world</w:t>
      </w:r>
      <w:r w:rsidR="00270A51">
        <w:t xml:space="preserve">, </w:t>
      </w:r>
      <w:r w:rsidR="00D86F14">
        <w:t xml:space="preserve">are not necessarily at the kind of elevated levels that would suggest investors need to </w:t>
      </w:r>
      <w:r w:rsidR="00761D52">
        <w:t xml:space="preserve">meaningfully </w:t>
      </w:r>
      <w:r w:rsidR="00F57704">
        <w:t>recalibrate their long-term return expectations.</w:t>
      </w:r>
      <w:r>
        <w:t xml:space="preserve"> Nevertheless, should markets continue to march forward without a meaningful pick-up in earnings, we may have to revisit this </w:t>
      </w:r>
      <w:r w:rsidR="00F57704">
        <w:t>exercise</w:t>
      </w:r>
      <w:r>
        <w:t xml:space="preserve"> as it could be indicative that markets have pull</w:t>
      </w:r>
      <w:r w:rsidR="00BE6FB5">
        <w:t>ed</w:t>
      </w:r>
      <w:r>
        <w:t xml:space="preserve"> forward some </w:t>
      </w:r>
      <w:r w:rsidR="00404E93">
        <w:t>of the future return potential from the asset class.</w:t>
      </w:r>
      <w:r>
        <w:t xml:space="preserve"> </w:t>
      </w:r>
    </w:p>
    <w:p w14:paraId="4F11C5A6" w14:textId="77777777" w:rsidR="00397B41" w:rsidRDefault="00397B41" w:rsidP="00397B41"/>
    <w:p w14:paraId="548E303C" w14:textId="1EF92847" w:rsidR="00DD042A" w:rsidRDefault="00397B41">
      <w:r>
        <w:t>Should you have any questions, please feel free to reach out.</w:t>
      </w:r>
      <w:bookmarkEnd w:id="0"/>
    </w:p>
    <w:sectPr w:rsidR="00DD04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B459AF"/>
    <w:multiLevelType w:val="hybridMultilevel"/>
    <w:tmpl w:val="AB9E3E3C"/>
    <w:lvl w:ilvl="0" w:tplc="5B265B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86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0B6"/>
    <w:rsid w:val="000037D5"/>
    <w:rsid w:val="00011E2A"/>
    <w:rsid w:val="00015228"/>
    <w:rsid w:val="00031F6E"/>
    <w:rsid w:val="00034F4E"/>
    <w:rsid w:val="000441C6"/>
    <w:rsid w:val="000511DC"/>
    <w:rsid w:val="00051DD5"/>
    <w:rsid w:val="00060A7E"/>
    <w:rsid w:val="00065EA2"/>
    <w:rsid w:val="00067876"/>
    <w:rsid w:val="00074EBD"/>
    <w:rsid w:val="000873E1"/>
    <w:rsid w:val="000927C3"/>
    <w:rsid w:val="000A4412"/>
    <w:rsid w:val="000A5C50"/>
    <w:rsid w:val="000B0DE6"/>
    <w:rsid w:val="000D7B9C"/>
    <w:rsid w:val="000E6875"/>
    <w:rsid w:val="000F439C"/>
    <w:rsid w:val="00127E1A"/>
    <w:rsid w:val="00140AD7"/>
    <w:rsid w:val="0016066C"/>
    <w:rsid w:val="00171393"/>
    <w:rsid w:val="00171A40"/>
    <w:rsid w:val="00185AB4"/>
    <w:rsid w:val="001959AD"/>
    <w:rsid w:val="001D502D"/>
    <w:rsid w:val="001D5B1D"/>
    <w:rsid w:val="001E794C"/>
    <w:rsid w:val="001F29D7"/>
    <w:rsid w:val="002044C5"/>
    <w:rsid w:val="00205593"/>
    <w:rsid w:val="00214D4E"/>
    <w:rsid w:val="002366EC"/>
    <w:rsid w:val="00242F9F"/>
    <w:rsid w:val="00251BE9"/>
    <w:rsid w:val="002627AC"/>
    <w:rsid w:val="0026503C"/>
    <w:rsid w:val="00270A51"/>
    <w:rsid w:val="00271D70"/>
    <w:rsid w:val="00286085"/>
    <w:rsid w:val="002B324A"/>
    <w:rsid w:val="002B5DB5"/>
    <w:rsid w:val="002E632D"/>
    <w:rsid w:val="002F0C09"/>
    <w:rsid w:val="002F54BC"/>
    <w:rsid w:val="00345C8A"/>
    <w:rsid w:val="00354A78"/>
    <w:rsid w:val="00365C0A"/>
    <w:rsid w:val="00380A3B"/>
    <w:rsid w:val="00396732"/>
    <w:rsid w:val="00397B41"/>
    <w:rsid w:val="003B137C"/>
    <w:rsid w:val="003B20E1"/>
    <w:rsid w:val="003B3F6C"/>
    <w:rsid w:val="003C66B4"/>
    <w:rsid w:val="003F4FA1"/>
    <w:rsid w:val="003F639A"/>
    <w:rsid w:val="004034A4"/>
    <w:rsid w:val="00404E93"/>
    <w:rsid w:val="00406745"/>
    <w:rsid w:val="0041137E"/>
    <w:rsid w:val="00412E03"/>
    <w:rsid w:val="004366DD"/>
    <w:rsid w:val="00475E0A"/>
    <w:rsid w:val="00476FFA"/>
    <w:rsid w:val="0049358E"/>
    <w:rsid w:val="00496B3A"/>
    <w:rsid w:val="004A32CE"/>
    <w:rsid w:val="004B4D76"/>
    <w:rsid w:val="004D4FBE"/>
    <w:rsid w:val="004E39A2"/>
    <w:rsid w:val="004E4578"/>
    <w:rsid w:val="004E685D"/>
    <w:rsid w:val="00504B4B"/>
    <w:rsid w:val="00515EDF"/>
    <w:rsid w:val="005165CF"/>
    <w:rsid w:val="0057343D"/>
    <w:rsid w:val="005858A1"/>
    <w:rsid w:val="005A3E5A"/>
    <w:rsid w:val="005A5D57"/>
    <w:rsid w:val="005A5F8C"/>
    <w:rsid w:val="005A7418"/>
    <w:rsid w:val="005C4F1F"/>
    <w:rsid w:val="005E6591"/>
    <w:rsid w:val="005E6B86"/>
    <w:rsid w:val="006154A9"/>
    <w:rsid w:val="00620864"/>
    <w:rsid w:val="00620BC4"/>
    <w:rsid w:val="00626C1C"/>
    <w:rsid w:val="006550E4"/>
    <w:rsid w:val="00672C28"/>
    <w:rsid w:val="0067399D"/>
    <w:rsid w:val="00684466"/>
    <w:rsid w:val="00696B3E"/>
    <w:rsid w:val="006A1BB9"/>
    <w:rsid w:val="006B343D"/>
    <w:rsid w:val="006B747B"/>
    <w:rsid w:val="006E2E94"/>
    <w:rsid w:val="006E5072"/>
    <w:rsid w:val="00761C48"/>
    <w:rsid w:val="00761D52"/>
    <w:rsid w:val="00777BAF"/>
    <w:rsid w:val="00782DD6"/>
    <w:rsid w:val="00784F00"/>
    <w:rsid w:val="007B1EDA"/>
    <w:rsid w:val="007B3703"/>
    <w:rsid w:val="007C0EE8"/>
    <w:rsid w:val="007C3BE2"/>
    <w:rsid w:val="007F71BD"/>
    <w:rsid w:val="0080436E"/>
    <w:rsid w:val="00874476"/>
    <w:rsid w:val="0087727B"/>
    <w:rsid w:val="00886D8B"/>
    <w:rsid w:val="00892B0E"/>
    <w:rsid w:val="00896FA9"/>
    <w:rsid w:val="008A6C47"/>
    <w:rsid w:val="008D2E5E"/>
    <w:rsid w:val="008F108E"/>
    <w:rsid w:val="008F4B5E"/>
    <w:rsid w:val="00932345"/>
    <w:rsid w:val="0095513F"/>
    <w:rsid w:val="00962473"/>
    <w:rsid w:val="009738E8"/>
    <w:rsid w:val="009A26BF"/>
    <w:rsid w:val="009B38C7"/>
    <w:rsid w:val="009C25B2"/>
    <w:rsid w:val="009C71A8"/>
    <w:rsid w:val="00A11B4F"/>
    <w:rsid w:val="00A2450C"/>
    <w:rsid w:val="00A3588F"/>
    <w:rsid w:val="00A43EA4"/>
    <w:rsid w:val="00A50D99"/>
    <w:rsid w:val="00A830DA"/>
    <w:rsid w:val="00A84172"/>
    <w:rsid w:val="00A97DCD"/>
    <w:rsid w:val="00AC05A3"/>
    <w:rsid w:val="00B44155"/>
    <w:rsid w:val="00B54848"/>
    <w:rsid w:val="00B54F36"/>
    <w:rsid w:val="00BA2C93"/>
    <w:rsid w:val="00BD4242"/>
    <w:rsid w:val="00BE60B7"/>
    <w:rsid w:val="00BE6FB5"/>
    <w:rsid w:val="00C373D0"/>
    <w:rsid w:val="00C47F1B"/>
    <w:rsid w:val="00C576A9"/>
    <w:rsid w:val="00C77E60"/>
    <w:rsid w:val="00C94DE9"/>
    <w:rsid w:val="00CA0B96"/>
    <w:rsid w:val="00CA5970"/>
    <w:rsid w:val="00CC0044"/>
    <w:rsid w:val="00CC16C2"/>
    <w:rsid w:val="00CC6499"/>
    <w:rsid w:val="00CD4BC0"/>
    <w:rsid w:val="00CD6842"/>
    <w:rsid w:val="00CF30B6"/>
    <w:rsid w:val="00CF6B28"/>
    <w:rsid w:val="00D00199"/>
    <w:rsid w:val="00D00A26"/>
    <w:rsid w:val="00D138BD"/>
    <w:rsid w:val="00D237F2"/>
    <w:rsid w:val="00D26FA5"/>
    <w:rsid w:val="00D307F3"/>
    <w:rsid w:val="00D3471C"/>
    <w:rsid w:val="00D45027"/>
    <w:rsid w:val="00D52F91"/>
    <w:rsid w:val="00D61DD4"/>
    <w:rsid w:val="00D62F95"/>
    <w:rsid w:val="00D85A87"/>
    <w:rsid w:val="00D86F14"/>
    <w:rsid w:val="00DA2CBC"/>
    <w:rsid w:val="00DA3C2A"/>
    <w:rsid w:val="00DA57C0"/>
    <w:rsid w:val="00DB7607"/>
    <w:rsid w:val="00DB7706"/>
    <w:rsid w:val="00DD0085"/>
    <w:rsid w:val="00DD042A"/>
    <w:rsid w:val="00DD3B69"/>
    <w:rsid w:val="00DD5041"/>
    <w:rsid w:val="00DD66CE"/>
    <w:rsid w:val="00DE05BA"/>
    <w:rsid w:val="00DE7174"/>
    <w:rsid w:val="00E20343"/>
    <w:rsid w:val="00E21D43"/>
    <w:rsid w:val="00E451A4"/>
    <w:rsid w:val="00EF001E"/>
    <w:rsid w:val="00EF519F"/>
    <w:rsid w:val="00F57704"/>
    <w:rsid w:val="00F71587"/>
    <w:rsid w:val="00F75775"/>
    <w:rsid w:val="00F8586D"/>
    <w:rsid w:val="00F9072B"/>
    <w:rsid w:val="00FB23E8"/>
    <w:rsid w:val="00FB3BE0"/>
    <w:rsid w:val="00FC009E"/>
    <w:rsid w:val="00FD4473"/>
    <w:rsid w:val="00FD46F8"/>
    <w:rsid w:val="00FE077F"/>
    <w:rsid w:val="00FE4251"/>
    <w:rsid w:val="00FF15B9"/>
    <w:rsid w:val="00FF5259"/>
    <w:rsid w:val="00FF5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9D49AD"/>
  <w15:chartTrackingRefBased/>
  <w15:docId w15:val="{D0E4FC1B-017C-413A-B6C9-128432382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30B6"/>
    <w:pPr>
      <w:spacing w:after="0" w:line="240" w:lineRule="auto"/>
    </w:pPr>
    <w:rPr>
      <w:rFonts w:ascii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1A4"/>
    <w:pPr>
      <w:ind w:left="720"/>
      <w:contextualSpacing/>
    </w:pPr>
  </w:style>
  <w:style w:type="paragraph" w:styleId="Revision">
    <w:name w:val="Revision"/>
    <w:hidden/>
    <w:uiPriority w:val="99"/>
    <w:semiHidden/>
    <w:rsid w:val="00DD0085"/>
    <w:pPr>
      <w:spacing w:after="0" w:line="240" w:lineRule="auto"/>
    </w:pPr>
    <w:rPr>
      <w:rFonts w:ascii="Calibri" w:hAnsi="Calibri" w:cs="Calibri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4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1D15E0-FC4D-4889-B62E-8AF6E7A0D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cp:lastPrinted>2024-04-04T21:01:00Z</cp:lastPrinted>
  <dcterms:created xsi:type="dcterms:W3CDTF">2024-04-05T16:22:00Z</dcterms:created>
  <dcterms:modified xsi:type="dcterms:W3CDTF">2024-04-05T16:22:00Z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